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BAC8" w14:textId="77777777" w:rsidR="005B4C21" w:rsidRDefault="005B4C21" w:rsidP="005B4C21">
      <w:pPr>
        <w:jc w:val="center"/>
        <w:rPr>
          <w:rFonts w:ascii="Arial" w:hAnsi="Arial" w:cs="Arial"/>
          <w:sz w:val="28"/>
          <w:szCs w:val="28"/>
        </w:rPr>
      </w:pPr>
    </w:p>
    <w:p w14:paraId="56834387" w14:textId="77777777" w:rsidR="005B4C21" w:rsidRDefault="005B4C21" w:rsidP="005B4C21">
      <w:pPr>
        <w:jc w:val="center"/>
        <w:rPr>
          <w:rFonts w:ascii="Arial" w:hAnsi="Arial" w:cs="Arial"/>
          <w:sz w:val="28"/>
          <w:szCs w:val="28"/>
        </w:rPr>
      </w:pPr>
    </w:p>
    <w:p w14:paraId="04C266B7" w14:textId="77777777" w:rsidR="005B4C21" w:rsidRDefault="005B4C21" w:rsidP="005B4C21">
      <w:pPr>
        <w:jc w:val="center"/>
        <w:rPr>
          <w:rFonts w:ascii="Arial" w:hAnsi="Arial" w:cs="Arial"/>
          <w:sz w:val="28"/>
          <w:szCs w:val="28"/>
        </w:rPr>
      </w:pPr>
    </w:p>
    <w:p w14:paraId="30EB37B3" w14:textId="77777777" w:rsidR="005B4C21" w:rsidRDefault="005B4C21" w:rsidP="005B4C21">
      <w:pPr>
        <w:jc w:val="center"/>
        <w:rPr>
          <w:rFonts w:ascii="Arial" w:hAnsi="Arial" w:cs="Arial"/>
          <w:sz w:val="28"/>
          <w:szCs w:val="28"/>
        </w:rPr>
      </w:pPr>
    </w:p>
    <w:p w14:paraId="4AC490DD" w14:textId="77777777" w:rsidR="005B4C21" w:rsidRDefault="005B4C21" w:rsidP="005B4C21">
      <w:pPr>
        <w:jc w:val="center"/>
        <w:rPr>
          <w:rFonts w:ascii="Arial" w:hAnsi="Arial" w:cs="Arial"/>
          <w:sz w:val="28"/>
          <w:szCs w:val="28"/>
        </w:rPr>
      </w:pPr>
    </w:p>
    <w:p w14:paraId="71F64905" w14:textId="77777777" w:rsidR="005B4C21" w:rsidRDefault="005B4C21" w:rsidP="005B4C21">
      <w:pPr>
        <w:jc w:val="center"/>
        <w:rPr>
          <w:rFonts w:ascii="Arial" w:hAnsi="Arial" w:cs="Arial"/>
          <w:sz w:val="28"/>
          <w:szCs w:val="28"/>
        </w:rPr>
      </w:pPr>
    </w:p>
    <w:p w14:paraId="105C43C0" w14:textId="77777777" w:rsidR="005B4C21" w:rsidRDefault="005B4C21" w:rsidP="005B4C21">
      <w:pPr>
        <w:jc w:val="center"/>
        <w:rPr>
          <w:rFonts w:ascii="Arial" w:hAnsi="Arial" w:cs="Arial"/>
          <w:sz w:val="28"/>
          <w:szCs w:val="28"/>
        </w:rPr>
      </w:pPr>
    </w:p>
    <w:p w14:paraId="3E9FC4D6" w14:textId="77777777" w:rsidR="005B4C21" w:rsidRDefault="005B4C21" w:rsidP="005B4C21">
      <w:pPr>
        <w:pStyle w:val="Onlyuseindocheader-categorystyle"/>
        <w:rPr>
          <w:b w:val="0"/>
        </w:rPr>
      </w:pPr>
    </w:p>
    <w:p w14:paraId="124F2667" w14:textId="77777777" w:rsidR="005B4C21" w:rsidRPr="00F4199D" w:rsidRDefault="005B4C21" w:rsidP="005B4C21">
      <w:pPr>
        <w:pStyle w:val="Onlyuseindocheader-categorystyle"/>
        <w:rPr>
          <w:b w:val="0"/>
        </w:rPr>
      </w:pPr>
      <w:r w:rsidRPr="00F4199D">
        <w:rPr>
          <w:b w:val="0"/>
        </w:rPr>
        <mc:AlternateContent>
          <mc:Choice Requires="wps">
            <w:drawing>
              <wp:anchor distT="0" distB="0" distL="114300" distR="114300" simplePos="0" relativeHeight="251658244" behindDoc="0" locked="0" layoutInCell="1" allowOverlap="1" wp14:anchorId="649C316D" wp14:editId="572105BA">
                <wp:simplePos x="0" y="0"/>
                <wp:positionH relativeFrom="column">
                  <wp:posOffset>10160</wp:posOffset>
                </wp:positionH>
                <wp:positionV relativeFrom="paragraph">
                  <wp:posOffset>-122184</wp:posOffset>
                </wp:positionV>
                <wp:extent cx="57175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5558" id="Straight Connector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" strokecolor="#d8d8d8 [2732]" strokeweight="1pt"/>
            </w:pict>
          </mc:Fallback>
        </mc:AlternateContent>
      </w:r>
    </w:p>
    <w:p w14:paraId="09184413" w14:textId="702E1AEE" w:rsidR="005B4C21" w:rsidRPr="005B4C21" w:rsidRDefault="005B4C21" w:rsidP="005B4C21">
      <w:pPr>
        <w:rPr>
          <w:rFonts w:ascii="Arial" w:hAnsi="Arial" w:cs="Arial"/>
          <w:b/>
          <w:sz w:val="56"/>
          <w:szCs w:val="56"/>
        </w:rPr>
      </w:pPr>
      <w:r w:rsidRPr="005B4C21">
        <w:rPr>
          <w:rFonts w:ascii="Arial" w:hAnsi="Arial" w:cs="Arial"/>
          <w:b/>
          <w:sz w:val="56"/>
          <w:szCs w:val="56"/>
        </w:rPr>
        <w:t>Public Service Reform (Scotland) Act 2010 Disclosures 20</w:t>
      </w:r>
      <w:r w:rsidR="00CB3177">
        <w:rPr>
          <w:rFonts w:ascii="Arial" w:hAnsi="Arial" w:cs="Arial"/>
          <w:b/>
          <w:sz w:val="56"/>
          <w:szCs w:val="56"/>
        </w:rPr>
        <w:t>2</w:t>
      </w:r>
      <w:r w:rsidR="00760E1F">
        <w:rPr>
          <w:rFonts w:ascii="Arial" w:hAnsi="Arial" w:cs="Arial"/>
          <w:b/>
          <w:sz w:val="56"/>
          <w:szCs w:val="56"/>
        </w:rPr>
        <w:t>2</w:t>
      </w:r>
      <w:r w:rsidRPr="005B4C21">
        <w:rPr>
          <w:rFonts w:ascii="Arial" w:hAnsi="Arial" w:cs="Arial"/>
          <w:b/>
          <w:sz w:val="56"/>
          <w:szCs w:val="56"/>
        </w:rPr>
        <w:t>-</w:t>
      </w:r>
      <w:r w:rsidR="00BF4BFD">
        <w:rPr>
          <w:rFonts w:ascii="Arial" w:hAnsi="Arial" w:cs="Arial"/>
          <w:b/>
          <w:sz w:val="56"/>
          <w:szCs w:val="56"/>
        </w:rPr>
        <w:t>2</w:t>
      </w:r>
      <w:r w:rsidR="00760E1F">
        <w:rPr>
          <w:rFonts w:ascii="Arial" w:hAnsi="Arial" w:cs="Arial"/>
          <w:b/>
          <w:sz w:val="56"/>
          <w:szCs w:val="56"/>
        </w:rPr>
        <w:t>3</w:t>
      </w:r>
    </w:p>
    <w:p w14:paraId="3254C3F7" w14:textId="77777777" w:rsidR="005B4C21" w:rsidRPr="00F4199D" w:rsidRDefault="005B4C21" w:rsidP="005B4C21">
      <w:pPr>
        <w:pStyle w:val="Onlyuseindocheader-subtitleifneeded"/>
        <w:rPr>
          <w:b w:val="0"/>
        </w:rPr>
      </w:pPr>
    </w:p>
    <w:p w14:paraId="78EEA462" w14:textId="77777777" w:rsidR="005B4C21" w:rsidRDefault="005B4C21" w:rsidP="005B4C21">
      <w:r>
        <w:rPr>
          <w:noProof/>
          <w:sz w:val="52"/>
          <w:szCs w:val="52"/>
          <w:lang w:eastAsia="en-GB"/>
        </w:rPr>
        <w:drawing>
          <wp:anchor distT="0" distB="0" distL="114300" distR="114300" simplePos="0" relativeHeight="251658241" behindDoc="1" locked="0" layoutInCell="1" allowOverlap="1" wp14:anchorId="28E59653" wp14:editId="0AC4BB42">
            <wp:simplePos x="0" y="0"/>
            <wp:positionH relativeFrom="column">
              <wp:posOffset>0</wp:posOffset>
            </wp:positionH>
            <wp:positionV relativeFrom="paragraph">
              <wp:posOffset>223358</wp:posOffset>
            </wp:positionV>
            <wp:extent cx="2654300" cy="516255"/>
            <wp:effectExtent l="0" t="0" r="0" b="0"/>
            <wp:wrapNone/>
            <wp:docPr id="13" name="Picture 13"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2"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2" behindDoc="0" locked="0" layoutInCell="1" allowOverlap="1" wp14:anchorId="385082EE" wp14:editId="03BBC7E5">
                <wp:simplePos x="0" y="0"/>
                <wp:positionH relativeFrom="column">
                  <wp:posOffset>0</wp:posOffset>
                </wp:positionH>
                <wp:positionV relativeFrom="paragraph">
                  <wp:posOffset>165100</wp:posOffset>
                </wp:positionV>
                <wp:extent cx="57175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D646"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" strokecolor="#d8d8d8 [2732]" strokeweight="1pt"/>
            </w:pict>
          </mc:Fallback>
        </mc:AlternateContent>
      </w:r>
    </w:p>
    <w:p w14:paraId="762532A4" w14:textId="77777777" w:rsidR="005B4C21" w:rsidRPr="00DD120E" w:rsidRDefault="005B4C21" w:rsidP="005B4C21">
      <w:pPr>
        <w:spacing w:after="480"/>
        <w:jc w:val="both"/>
        <w:rPr>
          <w:sz w:val="52"/>
          <w:szCs w:val="52"/>
        </w:rPr>
      </w:pPr>
      <w:r>
        <w:rPr>
          <w:noProof/>
          <w:sz w:val="52"/>
          <w:szCs w:val="52"/>
          <w:lang w:eastAsia="en-GB"/>
        </w:rPr>
        <w:drawing>
          <wp:anchor distT="0" distB="0" distL="114300" distR="114300" simplePos="0" relativeHeight="251658240" behindDoc="1" locked="0" layoutInCell="1" allowOverlap="1" wp14:anchorId="55F05117" wp14:editId="7F63C255">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3" behindDoc="0" locked="0" layoutInCell="1" allowOverlap="1" wp14:anchorId="3123350F" wp14:editId="2EB755CB">
                <wp:simplePos x="0" y="0"/>
                <wp:positionH relativeFrom="column">
                  <wp:posOffset>0</wp:posOffset>
                </wp:positionH>
                <wp:positionV relativeFrom="paragraph">
                  <wp:posOffset>472913</wp:posOffset>
                </wp:positionV>
                <wp:extent cx="57175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BBDD"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" strokecolor="#d8d8d8 [2732]" strokeweight="1pt"/>
            </w:pict>
          </mc:Fallback>
        </mc:AlternateContent>
      </w:r>
    </w:p>
    <w:p w14:paraId="0C14C547" w14:textId="77777777" w:rsidR="005B4C21" w:rsidRDefault="005B4C21" w:rsidP="005B4C21">
      <w:pPr>
        <w:jc w:val="center"/>
        <w:rPr>
          <w:rFonts w:ascii="Arial" w:hAnsi="Arial" w:cs="Arial"/>
          <w:sz w:val="28"/>
          <w:szCs w:val="28"/>
        </w:rPr>
      </w:pPr>
    </w:p>
    <w:p w14:paraId="13E0E679" w14:textId="77777777" w:rsidR="005B4C21" w:rsidRPr="00575DC3" w:rsidRDefault="005B4C21" w:rsidP="005B4C21">
      <w:pPr>
        <w:jc w:val="center"/>
        <w:rPr>
          <w:rFonts w:ascii="Arial" w:hAnsi="Arial" w:cs="Arial"/>
          <w:sz w:val="28"/>
          <w:szCs w:val="28"/>
        </w:rPr>
      </w:pPr>
    </w:p>
    <w:p w14:paraId="35F673D8" w14:textId="77777777" w:rsidR="005B4C21" w:rsidRDefault="005B4C21" w:rsidP="005B4C21">
      <w:pPr>
        <w:jc w:val="center"/>
        <w:rPr>
          <w:rFonts w:ascii="Arial" w:hAnsi="Arial" w:cs="Arial"/>
          <w:b/>
          <w:color w:val="17365D"/>
          <w:sz w:val="40"/>
          <w:szCs w:val="32"/>
        </w:rPr>
      </w:pPr>
    </w:p>
    <w:p w14:paraId="4AE994B5" w14:textId="35550437" w:rsidR="005B4C21" w:rsidRPr="00575DC3" w:rsidRDefault="005B4C21" w:rsidP="009D7CD8">
      <w:pPr>
        <w:tabs>
          <w:tab w:val="left" w:pos="5385"/>
        </w:tabs>
        <w:rPr>
          <w:rFonts w:ascii="Arial" w:hAnsi="Arial" w:cs="Arial"/>
          <w:sz w:val="28"/>
          <w:szCs w:val="28"/>
        </w:rPr>
      </w:pPr>
    </w:p>
    <w:p w14:paraId="7DFACFDF" w14:textId="77777777" w:rsidR="005B4C21" w:rsidRDefault="005B4C21" w:rsidP="005B4C21">
      <w:pPr>
        <w:rPr>
          <w:rFonts w:ascii="Arial" w:hAnsi="Arial" w:cs="Arial"/>
          <w:sz w:val="28"/>
          <w:szCs w:val="28"/>
        </w:rPr>
      </w:pPr>
      <w:r>
        <w:rPr>
          <w:rFonts w:ascii="Arial" w:hAnsi="Arial" w:cs="Arial"/>
          <w:sz w:val="28"/>
          <w:szCs w:val="28"/>
        </w:rPr>
        <w:br w:type="page"/>
      </w:r>
    </w:p>
    <w:p w14:paraId="1A05A256"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t>Document Control</w:t>
      </w:r>
    </w:p>
    <w:p w14:paraId="65318EB0" w14:textId="77777777" w:rsidR="005B4C21" w:rsidRPr="0026551E" w:rsidRDefault="005B4C21" w:rsidP="005B4C21">
      <w:pPr>
        <w:rPr>
          <w:rFonts w:ascii="Arial" w:hAnsi="Arial" w:cs="Arial"/>
          <w:b/>
          <w:color w:val="17365D"/>
          <w:sz w:val="36"/>
          <w:szCs w:val="36"/>
        </w:rPr>
      </w:pPr>
    </w:p>
    <w:p w14:paraId="393BE0C9"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t>Change Record</w:t>
      </w:r>
    </w:p>
    <w:p w14:paraId="492B599C" w14:textId="77777777" w:rsidR="005B4C21" w:rsidRDefault="005B4C21" w:rsidP="005B4C21">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59"/>
        <w:gridCol w:w="1239"/>
        <w:gridCol w:w="3251"/>
      </w:tblGrid>
      <w:tr w:rsidR="005B4C21" w:rsidRPr="0026551E" w14:paraId="054565BF" w14:textId="77777777" w:rsidTr="7CEFE329">
        <w:tc>
          <w:tcPr>
            <w:tcW w:w="2267" w:type="dxa"/>
          </w:tcPr>
          <w:p w14:paraId="1F19804E" w14:textId="77777777" w:rsidR="005B4C21" w:rsidRPr="0026551E" w:rsidRDefault="005B4C21" w:rsidP="003B0B53">
            <w:pPr>
              <w:rPr>
                <w:rFonts w:ascii="Arial" w:hAnsi="Arial" w:cs="Arial"/>
              </w:rPr>
            </w:pPr>
            <w:r w:rsidRPr="0026551E">
              <w:rPr>
                <w:rFonts w:ascii="Arial" w:hAnsi="Arial" w:cs="Arial"/>
              </w:rPr>
              <w:t>Date</w:t>
            </w:r>
          </w:p>
        </w:tc>
        <w:tc>
          <w:tcPr>
            <w:tcW w:w="2259" w:type="dxa"/>
          </w:tcPr>
          <w:p w14:paraId="305BE084" w14:textId="77777777" w:rsidR="005B4C21" w:rsidRPr="0026551E" w:rsidRDefault="005B4C21" w:rsidP="003B0B53">
            <w:pPr>
              <w:rPr>
                <w:rFonts w:ascii="Arial" w:hAnsi="Arial" w:cs="Arial"/>
              </w:rPr>
            </w:pPr>
            <w:r w:rsidRPr="0026551E">
              <w:rPr>
                <w:rFonts w:ascii="Arial" w:hAnsi="Arial" w:cs="Arial"/>
              </w:rPr>
              <w:t>Author</w:t>
            </w:r>
          </w:p>
        </w:tc>
        <w:tc>
          <w:tcPr>
            <w:tcW w:w="1239" w:type="dxa"/>
          </w:tcPr>
          <w:p w14:paraId="4FC0F9ED" w14:textId="77777777" w:rsidR="005B4C21" w:rsidRPr="0026551E" w:rsidRDefault="005B4C21" w:rsidP="003B0B53">
            <w:pPr>
              <w:rPr>
                <w:rFonts w:ascii="Arial" w:hAnsi="Arial" w:cs="Arial"/>
              </w:rPr>
            </w:pPr>
            <w:r w:rsidRPr="0026551E">
              <w:rPr>
                <w:rFonts w:ascii="Arial" w:hAnsi="Arial" w:cs="Arial"/>
              </w:rPr>
              <w:t>Version</w:t>
            </w:r>
          </w:p>
        </w:tc>
        <w:tc>
          <w:tcPr>
            <w:tcW w:w="3251" w:type="dxa"/>
          </w:tcPr>
          <w:p w14:paraId="3940C7FF" w14:textId="77777777" w:rsidR="005B4C21" w:rsidRPr="0026551E" w:rsidRDefault="005B4C21" w:rsidP="003B0B53">
            <w:pPr>
              <w:rPr>
                <w:rFonts w:ascii="Arial" w:hAnsi="Arial" w:cs="Arial"/>
              </w:rPr>
            </w:pPr>
            <w:r w:rsidRPr="0026551E">
              <w:rPr>
                <w:rFonts w:ascii="Arial" w:hAnsi="Arial" w:cs="Arial"/>
              </w:rPr>
              <w:t>Change Reference</w:t>
            </w:r>
          </w:p>
        </w:tc>
      </w:tr>
      <w:tr w:rsidR="005B4C21" w:rsidRPr="0026551E" w14:paraId="13650B23" w14:textId="77777777" w:rsidTr="7CEFE329">
        <w:tc>
          <w:tcPr>
            <w:tcW w:w="2267" w:type="dxa"/>
          </w:tcPr>
          <w:p w14:paraId="525CF746" w14:textId="5830B248" w:rsidR="005B4C21" w:rsidRPr="0026551E" w:rsidRDefault="0029532D" w:rsidP="003B0B53">
            <w:pPr>
              <w:rPr>
                <w:rFonts w:ascii="Arial" w:hAnsi="Arial" w:cs="Arial"/>
              </w:rPr>
            </w:pPr>
            <w:r>
              <w:rPr>
                <w:rFonts w:ascii="Arial" w:hAnsi="Arial" w:cs="Arial"/>
              </w:rPr>
              <w:t>20</w:t>
            </w:r>
            <w:r w:rsidR="005B4C21">
              <w:rPr>
                <w:rFonts w:ascii="Arial" w:hAnsi="Arial" w:cs="Arial"/>
              </w:rPr>
              <w:t>/</w:t>
            </w:r>
            <w:r w:rsidR="00DB2525">
              <w:rPr>
                <w:rFonts w:ascii="Arial" w:hAnsi="Arial" w:cs="Arial"/>
              </w:rPr>
              <w:t>10</w:t>
            </w:r>
            <w:r w:rsidR="005B4C21">
              <w:rPr>
                <w:rFonts w:ascii="Arial" w:hAnsi="Arial" w:cs="Arial"/>
              </w:rPr>
              <w:t>/</w:t>
            </w:r>
            <w:r w:rsidR="00C36018">
              <w:rPr>
                <w:rFonts w:ascii="Arial" w:hAnsi="Arial" w:cs="Arial"/>
              </w:rPr>
              <w:t>2</w:t>
            </w:r>
            <w:r>
              <w:rPr>
                <w:rFonts w:ascii="Arial" w:hAnsi="Arial" w:cs="Arial"/>
              </w:rPr>
              <w:t>3</w:t>
            </w:r>
          </w:p>
        </w:tc>
        <w:tc>
          <w:tcPr>
            <w:tcW w:w="2259" w:type="dxa"/>
          </w:tcPr>
          <w:p w14:paraId="53871CAF" w14:textId="33E8ACA0" w:rsidR="005B4C21" w:rsidRPr="0026551E" w:rsidRDefault="00DB2525" w:rsidP="003B0B53">
            <w:pPr>
              <w:rPr>
                <w:rFonts w:ascii="Arial" w:hAnsi="Arial" w:cs="Arial"/>
              </w:rPr>
            </w:pPr>
            <w:r>
              <w:rPr>
                <w:rFonts w:ascii="Arial" w:hAnsi="Arial" w:cs="Arial"/>
              </w:rPr>
              <w:t>Simon Taaffe</w:t>
            </w:r>
          </w:p>
        </w:tc>
        <w:tc>
          <w:tcPr>
            <w:tcW w:w="1239" w:type="dxa"/>
          </w:tcPr>
          <w:p w14:paraId="016440C4" w14:textId="77777777" w:rsidR="005B4C21" w:rsidRPr="0026551E" w:rsidRDefault="005B4C21" w:rsidP="003B0B53">
            <w:pPr>
              <w:rPr>
                <w:rFonts w:ascii="Arial" w:hAnsi="Arial" w:cs="Arial"/>
              </w:rPr>
            </w:pPr>
            <w:r>
              <w:rPr>
                <w:rFonts w:ascii="Arial" w:hAnsi="Arial" w:cs="Arial"/>
              </w:rPr>
              <w:t>0.1 draft</w:t>
            </w:r>
          </w:p>
        </w:tc>
        <w:tc>
          <w:tcPr>
            <w:tcW w:w="3251" w:type="dxa"/>
          </w:tcPr>
          <w:p w14:paraId="7E1554D9" w14:textId="77777777" w:rsidR="005B4C21" w:rsidRPr="0026551E" w:rsidRDefault="005B4C21" w:rsidP="003B0B53">
            <w:pPr>
              <w:rPr>
                <w:rFonts w:ascii="Arial" w:hAnsi="Arial" w:cs="Arial"/>
              </w:rPr>
            </w:pPr>
          </w:p>
        </w:tc>
      </w:tr>
      <w:tr w:rsidR="005B4C21" w:rsidRPr="0026551E" w14:paraId="6037A5E9" w14:textId="77777777" w:rsidTr="007726CE">
        <w:tc>
          <w:tcPr>
            <w:tcW w:w="2267" w:type="dxa"/>
          </w:tcPr>
          <w:p w14:paraId="2668F7F0" w14:textId="38D5EAAB" w:rsidR="005B4C21" w:rsidRDefault="003D0AA5" w:rsidP="003B0B53">
            <w:pPr>
              <w:rPr>
                <w:rFonts w:ascii="Arial" w:hAnsi="Arial" w:cs="Arial"/>
              </w:rPr>
            </w:pPr>
            <w:r>
              <w:rPr>
                <w:rFonts w:ascii="Arial" w:hAnsi="Arial" w:cs="Arial"/>
              </w:rPr>
              <w:t>03/11/23</w:t>
            </w:r>
          </w:p>
        </w:tc>
        <w:tc>
          <w:tcPr>
            <w:tcW w:w="2259" w:type="dxa"/>
          </w:tcPr>
          <w:p w14:paraId="23FC6AD6" w14:textId="462DD074" w:rsidR="005B4C21" w:rsidRDefault="00934FE8" w:rsidP="003B0B53">
            <w:pPr>
              <w:rPr>
                <w:rFonts w:ascii="Arial" w:hAnsi="Arial" w:cs="Arial"/>
              </w:rPr>
            </w:pPr>
            <w:r>
              <w:rPr>
                <w:rFonts w:ascii="Arial" w:hAnsi="Arial" w:cs="Arial"/>
              </w:rPr>
              <w:t>Simon Taaffe</w:t>
            </w:r>
          </w:p>
        </w:tc>
        <w:tc>
          <w:tcPr>
            <w:tcW w:w="1239" w:type="dxa"/>
          </w:tcPr>
          <w:p w14:paraId="259B5382" w14:textId="35EEC293" w:rsidR="005B4C21" w:rsidRDefault="00F872E1" w:rsidP="003B0B53">
            <w:pPr>
              <w:rPr>
                <w:rFonts w:ascii="Arial" w:hAnsi="Arial" w:cs="Arial"/>
              </w:rPr>
            </w:pPr>
            <w:r>
              <w:rPr>
                <w:rFonts w:ascii="Arial" w:hAnsi="Arial" w:cs="Arial"/>
              </w:rPr>
              <w:t>0.2</w:t>
            </w:r>
          </w:p>
        </w:tc>
        <w:tc>
          <w:tcPr>
            <w:tcW w:w="3251" w:type="dxa"/>
            <w:shd w:val="clear" w:color="auto" w:fill="auto"/>
          </w:tcPr>
          <w:p w14:paraId="52DF6BCE" w14:textId="5AD2A7B8" w:rsidR="005B4C21" w:rsidRDefault="00AB77BF" w:rsidP="003B0B53">
            <w:pPr>
              <w:rPr>
                <w:rFonts w:ascii="Arial" w:hAnsi="Arial" w:cs="Arial"/>
              </w:rPr>
            </w:pPr>
            <w:r w:rsidRPr="00934FE8">
              <w:rPr>
                <w:rFonts w:ascii="Arial" w:hAnsi="Arial" w:cs="Arial"/>
              </w:rPr>
              <w:t xml:space="preserve">Updated following review by </w:t>
            </w:r>
            <w:r w:rsidR="00934FE8" w:rsidRPr="00934FE8">
              <w:rPr>
                <w:rFonts w:ascii="Arial" w:hAnsi="Arial" w:cs="Arial"/>
              </w:rPr>
              <w:t>Neville Cobb</w:t>
            </w:r>
            <w:r w:rsidR="00F872E1" w:rsidRPr="007726CE">
              <w:rPr>
                <w:rFonts w:ascii="Arial" w:hAnsi="Arial" w:cs="Arial"/>
              </w:rPr>
              <w:t>, Head of Finance and Governance</w:t>
            </w:r>
            <w:r w:rsidRPr="007726CE">
              <w:rPr>
                <w:rFonts w:ascii="Arial" w:hAnsi="Arial" w:cs="Arial"/>
              </w:rPr>
              <w:t xml:space="preserve"> </w:t>
            </w:r>
          </w:p>
        </w:tc>
      </w:tr>
      <w:tr w:rsidR="00205107" w:rsidRPr="0026551E" w14:paraId="01146808" w14:textId="77777777" w:rsidTr="7CEFE329">
        <w:tc>
          <w:tcPr>
            <w:tcW w:w="2267" w:type="dxa"/>
          </w:tcPr>
          <w:p w14:paraId="6790AE8C" w14:textId="67EEF614" w:rsidR="00205107" w:rsidRDefault="006D3AC8" w:rsidP="003B0B53">
            <w:pPr>
              <w:rPr>
                <w:rFonts w:ascii="Arial" w:hAnsi="Arial" w:cs="Arial"/>
              </w:rPr>
            </w:pPr>
            <w:r>
              <w:rPr>
                <w:rFonts w:ascii="Arial" w:hAnsi="Arial" w:cs="Arial"/>
              </w:rPr>
              <w:t>22/11/23</w:t>
            </w:r>
          </w:p>
        </w:tc>
        <w:tc>
          <w:tcPr>
            <w:tcW w:w="2259" w:type="dxa"/>
          </w:tcPr>
          <w:p w14:paraId="348521ED" w14:textId="57EE3AFF" w:rsidR="00205107" w:rsidRDefault="00205107" w:rsidP="003B0B53">
            <w:pPr>
              <w:rPr>
                <w:rFonts w:ascii="Arial" w:hAnsi="Arial" w:cs="Arial"/>
              </w:rPr>
            </w:pPr>
            <w:r>
              <w:rPr>
                <w:rFonts w:ascii="Arial" w:hAnsi="Arial" w:cs="Arial"/>
              </w:rPr>
              <w:t>Simon Taaffe</w:t>
            </w:r>
          </w:p>
        </w:tc>
        <w:tc>
          <w:tcPr>
            <w:tcW w:w="1239" w:type="dxa"/>
          </w:tcPr>
          <w:p w14:paraId="72735E9B" w14:textId="4B5B6851" w:rsidR="00205107" w:rsidRDefault="00205107" w:rsidP="003B0B53">
            <w:pPr>
              <w:rPr>
                <w:rFonts w:ascii="Arial" w:hAnsi="Arial" w:cs="Arial"/>
              </w:rPr>
            </w:pPr>
            <w:r>
              <w:rPr>
                <w:rFonts w:ascii="Arial" w:hAnsi="Arial" w:cs="Arial"/>
              </w:rPr>
              <w:t>1.0</w:t>
            </w:r>
          </w:p>
        </w:tc>
        <w:tc>
          <w:tcPr>
            <w:tcW w:w="3251" w:type="dxa"/>
          </w:tcPr>
          <w:p w14:paraId="4F015486" w14:textId="55633FF2" w:rsidR="00205107" w:rsidRPr="00DB2525" w:rsidRDefault="006D3AC8" w:rsidP="003B0B53">
            <w:pPr>
              <w:rPr>
                <w:rFonts w:ascii="Arial" w:hAnsi="Arial" w:cs="Arial"/>
                <w:highlight w:val="yellow"/>
              </w:rPr>
            </w:pPr>
            <w:r w:rsidRPr="003004E9">
              <w:rPr>
                <w:rFonts w:ascii="Arial" w:hAnsi="Arial" w:cs="Arial"/>
              </w:rPr>
              <w:t xml:space="preserve">Approved </w:t>
            </w:r>
            <w:r w:rsidR="00205107" w:rsidRPr="003004E9">
              <w:rPr>
                <w:rFonts w:ascii="Arial" w:hAnsi="Arial" w:cs="Arial"/>
              </w:rPr>
              <w:t>by Rachel Barrington, Director of Operations</w:t>
            </w:r>
          </w:p>
        </w:tc>
      </w:tr>
    </w:tbl>
    <w:p w14:paraId="51E4C0F2" w14:textId="77777777" w:rsidR="005B4C21" w:rsidRDefault="005B4C21" w:rsidP="005B4C21">
      <w:pPr>
        <w:rPr>
          <w:rFonts w:ascii="Arial" w:hAnsi="Arial"/>
          <w:b/>
          <w:sz w:val="32"/>
          <w:szCs w:val="20"/>
        </w:rPr>
      </w:pPr>
      <w:r>
        <w:br w:type="page"/>
      </w:r>
    </w:p>
    <w:p w14:paraId="4FCAF3EE" w14:textId="77777777" w:rsidR="005B4C21" w:rsidRPr="00420175" w:rsidRDefault="005B4C21" w:rsidP="005B4C21">
      <w:pPr>
        <w:pStyle w:val="Intro"/>
        <w:spacing w:before="400"/>
        <w:rPr>
          <w:sz w:val="36"/>
          <w:szCs w:val="36"/>
        </w:rPr>
      </w:pPr>
      <w:r w:rsidRPr="00420175">
        <w:rPr>
          <w:sz w:val="36"/>
          <w:szCs w:val="36"/>
        </w:rPr>
        <w:t>Contents</w:t>
      </w:r>
    </w:p>
    <w:p w14:paraId="37FCE081" w14:textId="77777777" w:rsidR="005B4C21" w:rsidRDefault="005B4C21" w:rsidP="005B4C21"/>
    <w:p w14:paraId="7B3D960B" w14:textId="77777777" w:rsidR="005B4C21" w:rsidRDefault="005B4C21" w:rsidP="005B4C21">
      <w:pPr>
        <w:rPr>
          <w:rFonts w:ascii="Arial" w:hAnsi="Arial" w:cs="Arial"/>
          <w:sz w:val="28"/>
          <w:szCs w:val="28"/>
        </w:rPr>
      </w:pPr>
    </w:p>
    <w:p w14:paraId="04B21464" w14:textId="77777777" w:rsidR="005B4C21" w:rsidRDefault="005B4C21" w:rsidP="005B4C21">
      <w:pPr>
        <w:rPr>
          <w:rFonts w:ascii="Arial" w:hAnsi="Arial" w:cs="Arial"/>
          <w:sz w:val="28"/>
          <w:szCs w:val="28"/>
        </w:rPr>
      </w:pPr>
    </w:p>
    <w:p w14:paraId="3EC5057D" w14:textId="77777777" w:rsidR="005B4C21" w:rsidRDefault="005B4C21" w:rsidP="005B4C21">
      <w:pPr>
        <w:rPr>
          <w:rFonts w:ascii="Arial" w:hAnsi="Arial" w:cs="Arial"/>
          <w:sz w:val="28"/>
          <w:szCs w:val="28"/>
        </w:rPr>
      </w:pPr>
    </w:p>
    <w:p w14:paraId="277058FD" w14:textId="77777777" w:rsidR="005B4C21" w:rsidRDefault="005B4C21" w:rsidP="005B4C21">
      <w:pPr>
        <w:tabs>
          <w:tab w:val="left" w:pos="7938"/>
        </w:tabs>
        <w:rPr>
          <w:rFonts w:ascii="Arial" w:hAnsi="Arial" w:cs="Arial"/>
          <w:sz w:val="28"/>
          <w:szCs w:val="28"/>
        </w:rPr>
      </w:pPr>
      <w:r>
        <w:rPr>
          <w:rFonts w:ascii="Arial" w:hAnsi="Arial" w:cs="Arial"/>
          <w:sz w:val="28"/>
          <w:szCs w:val="28"/>
        </w:rPr>
        <w:t>Section 1 Introduction</w:t>
      </w:r>
      <w:r>
        <w:rPr>
          <w:rFonts w:ascii="Arial" w:hAnsi="Arial" w:cs="Arial"/>
          <w:sz w:val="28"/>
          <w:szCs w:val="28"/>
        </w:rPr>
        <w:tab/>
        <w:t>Page 4</w:t>
      </w:r>
    </w:p>
    <w:p w14:paraId="1C12ADD1" w14:textId="77777777" w:rsidR="005B4C21" w:rsidRDefault="005B4C21" w:rsidP="005B4C21">
      <w:pPr>
        <w:tabs>
          <w:tab w:val="left" w:pos="7938"/>
        </w:tabs>
        <w:rPr>
          <w:rFonts w:ascii="Arial" w:hAnsi="Arial" w:cs="Arial"/>
          <w:sz w:val="28"/>
          <w:szCs w:val="28"/>
        </w:rPr>
      </w:pPr>
    </w:p>
    <w:p w14:paraId="13A2DE7B" w14:textId="77777777" w:rsidR="005B4C21" w:rsidRDefault="005B4C21" w:rsidP="005B4C21">
      <w:pPr>
        <w:tabs>
          <w:tab w:val="left" w:pos="7938"/>
        </w:tabs>
        <w:rPr>
          <w:rFonts w:ascii="Arial" w:hAnsi="Arial" w:cs="Arial"/>
          <w:sz w:val="28"/>
          <w:szCs w:val="28"/>
        </w:rPr>
      </w:pPr>
    </w:p>
    <w:p w14:paraId="6A3DC6F5" w14:textId="5E7CB136" w:rsidR="005B4C21" w:rsidRDefault="005B4C21" w:rsidP="005B4C21">
      <w:pPr>
        <w:tabs>
          <w:tab w:val="left" w:pos="7938"/>
        </w:tabs>
        <w:rPr>
          <w:rFonts w:ascii="Arial" w:hAnsi="Arial" w:cs="Arial"/>
          <w:sz w:val="28"/>
          <w:szCs w:val="28"/>
        </w:rPr>
      </w:pPr>
      <w:r>
        <w:rPr>
          <w:rFonts w:ascii="Arial" w:hAnsi="Arial" w:cs="Arial"/>
          <w:sz w:val="28"/>
          <w:szCs w:val="28"/>
        </w:rPr>
        <w:t>Section 2 Disclosures</w:t>
      </w:r>
      <w:r>
        <w:rPr>
          <w:rFonts w:ascii="Arial" w:hAnsi="Arial" w:cs="Arial"/>
          <w:sz w:val="28"/>
          <w:szCs w:val="28"/>
        </w:rPr>
        <w:tab/>
        <w:t>Page 4</w:t>
      </w:r>
    </w:p>
    <w:p w14:paraId="5F06A0A2" w14:textId="77777777" w:rsidR="005B4C21" w:rsidRDefault="005B4C21" w:rsidP="005B4C21">
      <w:pPr>
        <w:tabs>
          <w:tab w:val="left" w:pos="7938"/>
        </w:tabs>
        <w:rPr>
          <w:rFonts w:ascii="Arial" w:hAnsi="Arial" w:cs="Arial"/>
          <w:sz w:val="28"/>
          <w:szCs w:val="28"/>
        </w:rPr>
      </w:pPr>
    </w:p>
    <w:p w14:paraId="1C4D5BD1" w14:textId="77777777" w:rsidR="005B4C21" w:rsidRDefault="005B4C21" w:rsidP="005B4C21">
      <w:pPr>
        <w:tabs>
          <w:tab w:val="left" w:pos="7938"/>
        </w:tabs>
        <w:rPr>
          <w:rFonts w:ascii="Arial" w:hAnsi="Arial" w:cs="Arial"/>
          <w:sz w:val="28"/>
          <w:szCs w:val="28"/>
        </w:rPr>
      </w:pPr>
    </w:p>
    <w:p w14:paraId="5EC82928" w14:textId="5EF0B3B0" w:rsidR="005B4C21" w:rsidRDefault="005B4C21" w:rsidP="005B4C21">
      <w:pPr>
        <w:tabs>
          <w:tab w:val="left" w:pos="7938"/>
        </w:tabs>
        <w:rPr>
          <w:rFonts w:ascii="Arial" w:hAnsi="Arial" w:cs="Arial"/>
          <w:sz w:val="28"/>
          <w:szCs w:val="28"/>
        </w:rPr>
      </w:pPr>
      <w:r>
        <w:rPr>
          <w:rFonts w:ascii="Arial" w:hAnsi="Arial" w:cs="Arial"/>
          <w:sz w:val="28"/>
          <w:szCs w:val="28"/>
        </w:rPr>
        <w:t>Section 3 Payments in Excess of £25,000</w:t>
      </w:r>
      <w:r>
        <w:rPr>
          <w:rFonts w:ascii="Arial" w:hAnsi="Arial" w:cs="Arial"/>
          <w:sz w:val="28"/>
          <w:szCs w:val="28"/>
        </w:rPr>
        <w:tab/>
        <w:t>Page 5</w:t>
      </w:r>
    </w:p>
    <w:p w14:paraId="3FDFC144" w14:textId="77777777" w:rsidR="005B4C21" w:rsidRDefault="005B4C21" w:rsidP="005B4C21">
      <w:pPr>
        <w:tabs>
          <w:tab w:val="left" w:pos="7938"/>
        </w:tabs>
        <w:rPr>
          <w:rFonts w:ascii="Arial" w:hAnsi="Arial" w:cs="Arial"/>
          <w:sz w:val="28"/>
          <w:szCs w:val="28"/>
        </w:rPr>
      </w:pPr>
    </w:p>
    <w:p w14:paraId="06063076" w14:textId="77777777" w:rsidR="005B4C21" w:rsidRDefault="005B4C21" w:rsidP="005B4C21">
      <w:pPr>
        <w:tabs>
          <w:tab w:val="left" w:pos="7938"/>
        </w:tabs>
        <w:rPr>
          <w:rFonts w:ascii="Arial" w:hAnsi="Arial" w:cs="Arial"/>
          <w:sz w:val="28"/>
          <w:szCs w:val="28"/>
        </w:rPr>
      </w:pPr>
    </w:p>
    <w:p w14:paraId="367DE1C7" w14:textId="2999A953" w:rsidR="005B4C21" w:rsidRDefault="005B4C21" w:rsidP="005B4C21">
      <w:pPr>
        <w:tabs>
          <w:tab w:val="left" w:pos="7938"/>
        </w:tabs>
        <w:rPr>
          <w:rFonts w:ascii="Arial" w:hAnsi="Arial" w:cs="Arial"/>
          <w:sz w:val="28"/>
          <w:szCs w:val="28"/>
        </w:rPr>
      </w:pPr>
      <w:r>
        <w:rPr>
          <w:rFonts w:ascii="Arial" w:hAnsi="Arial" w:cs="Arial"/>
          <w:sz w:val="28"/>
          <w:szCs w:val="28"/>
        </w:rPr>
        <w:t>Section 4 Staff earning over £150,000</w:t>
      </w:r>
      <w:r>
        <w:rPr>
          <w:rFonts w:ascii="Arial" w:hAnsi="Arial" w:cs="Arial"/>
          <w:sz w:val="28"/>
          <w:szCs w:val="28"/>
        </w:rPr>
        <w:tab/>
        <w:t>Page 5</w:t>
      </w:r>
    </w:p>
    <w:p w14:paraId="164B7101" w14:textId="77777777" w:rsidR="005B4C21" w:rsidRDefault="005B4C21" w:rsidP="005B4C21">
      <w:pPr>
        <w:tabs>
          <w:tab w:val="left" w:pos="7938"/>
        </w:tabs>
        <w:rPr>
          <w:rFonts w:ascii="Arial" w:hAnsi="Arial" w:cs="Arial"/>
          <w:sz w:val="28"/>
          <w:szCs w:val="28"/>
        </w:rPr>
      </w:pPr>
    </w:p>
    <w:p w14:paraId="673AE171" w14:textId="77777777" w:rsidR="005B4C21" w:rsidRDefault="005B4C21" w:rsidP="005B4C21">
      <w:pPr>
        <w:tabs>
          <w:tab w:val="left" w:pos="7938"/>
        </w:tabs>
        <w:rPr>
          <w:rFonts w:ascii="Arial" w:hAnsi="Arial" w:cs="Arial"/>
          <w:sz w:val="28"/>
          <w:szCs w:val="28"/>
        </w:rPr>
      </w:pPr>
    </w:p>
    <w:p w14:paraId="58E7A116" w14:textId="1E5F4EFD" w:rsidR="005B4C21" w:rsidRDefault="005B4C21" w:rsidP="005B4C21">
      <w:pPr>
        <w:tabs>
          <w:tab w:val="left" w:pos="7938"/>
        </w:tabs>
        <w:rPr>
          <w:rFonts w:ascii="Arial" w:hAnsi="Arial" w:cs="Arial"/>
          <w:sz w:val="28"/>
          <w:szCs w:val="28"/>
        </w:rPr>
      </w:pPr>
      <w:r>
        <w:rPr>
          <w:rFonts w:ascii="Arial" w:hAnsi="Arial" w:cs="Arial"/>
          <w:sz w:val="28"/>
          <w:szCs w:val="28"/>
        </w:rPr>
        <w:t>Section 5 Statement on Sustainable Growth</w:t>
      </w:r>
      <w:r>
        <w:rPr>
          <w:rFonts w:ascii="Arial" w:hAnsi="Arial" w:cs="Arial"/>
          <w:sz w:val="28"/>
          <w:szCs w:val="28"/>
        </w:rPr>
        <w:tab/>
        <w:t>Page 5</w:t>
      </w:r>
    </w:p>
    <w:p w14:paraId="491BBE8E" w14:textId="77777777" w:rsidR="005B4C21" w:rsidRDefault="005B4C21" w:rsidP="005B4C21">
      <w:pPr>
        <w:tabs>
          <w:tab w:val="left" w:pos="7938"/>
        </w:tabs>
        <w:rPr>
          <w:rFonts w:ascii="Arial" w:hAnsi="Arial" w:cs="Arial"/>
          <w:sz w:val="28"/>
          <w:szCs w:val="28"/>
        </w:rPr>
      </w:pPr>
    </w:p>
    <w:p w14:paraId="486A2733" w14:textId="77777777" w:rsidR="005B4C21" w:rsidRDefault="005B4C21" w:rsidP="005B4C21">
      <w:pPr>
        <w:tabs>
          <w:tab w:val="left" w:pos="7938"/>
        </w:tabs>
        <w:rPr>
          <w:rFonts w:ascii="Arial" w:hAnsi="Arial" w:cs="Arial"/>
          <w:sz w:val="28"/>
          <w:szCs w:val="28"/>
        </w:rPr>
      </w:pPr>
    </w:p>
    <w:p w14:paraId="2B6EB2A9" w14:textId="0837E82B" w:rsidR="005B4C21" w:rsidRDefault="005B4C21" w:rsidP="005B4C21">
      <w:pPr>
        <w:tabs>
          <w:tab w:val="left" w:pos="7938"/>
        </w:tabs>
        <w:rPr>
          <w:rFonts w:ascii="Arial" w:hAnsi="Arial" w:cs="Arial"/>
          <w:sz w:val="28"/>
          <w:szCs w:val="28"/>
        </w:rPr>
      </w:pPr>
      <w:r>
        <w:rPr>
          <w:rFonts w:ascii="Arial" w:hAnsi="Arial" w:cs="Arial"/>
          <w:sz w:val="28"/>
          <w:szCs w:val="28"/>
        </w:rPr>
        <w:t>Section 6 Efficiency Statement</w:t>
      </w:r>
      <w:r>
        <w:rPr>
          <w:rFonts w:ascii="Arial" w:hAnsi="Arial" w:cs="Arial"/>
          <w:sz w:val="28"/>
          <w:szCs w:val="28"/>
        </w:rPr>
        <w:tab/>
        <w:t xml:space="preserve">Page </w:t>
      </w:r>
      <w:r w:rsidR="00C90E42">
        <w:rPr>
          <w:rFonts w:ascii="Arial" w:hAnsi="Arial" w:cs="Arial"/>
          <w:sz w:val="28"/>
          <w:szCs w:val="28"/>
        </w:rPr>
        <w:t>8</w:t>
      </w:r>
    </w:p>
    <w:p w14:paraId="3D18D394" w14:textId="246ECD95" w:rsidR="005B4C21" w:rsidRDefault="005B4C21" w:rsidP="005B4C21">
      <w:pPr>
        <w:tabs>
          <w:tab w:val="left" w:pos="7938"/>
          <w:tab w:val="left" w:pos="8203"/>
        </w:tabs>
        <w:rPr>
          <w:rFonts w:ascii="Arial" w:hAnsi="Arial" w:cs="Arial"/>
          <w:sz w:val="28"/>
          <w:szCs w:val="28"/>
        </w:rPr>
      </w:pPr>
    </w:p>
    <w:p w14:paraId="49D1A2D9" w14:textId="77777777" w:rsidR="005B4C21" w:rsidRDefault="005B4C21" w:rsidP="005B4C21">
      <w:pPr>
        <w:tabs>
          <w:tab w:val="left" w:pos="7938"/>
          <w:tab w:val="left" w:pos="8203"/>
        </w:tabs>
        <w:rPr>
          <w:rFonts w:ascii="Arial" w:hAnsi="Arial" w:cs="Arial"/>
          <w:sz w:val="28"/>
          <w:szCs w:val="28"/>
        </w:rPr>
      </w:pPr>
    </w:p>
    <w:p w14:paraId="725DCEA6" w14:textId="304960DA" w:rsidR="005B4C21" w:rsidRPr="005B4C21" w:rsidRDefault="005B4C21" w:rsidP="005B4C21">
      <w:pPr>
        <w:spacing w:after="160" w:line="259" w:lineRule="auto"/>
        <w:rPr>
          <w:rFonts w:ascii="Arial" w:hAnsi="Arial" w:cs="Arial"/>
          <w:sz w:val="28"/>
          <w:szCs w:val="28"/>
        </w:rPr>
      </w:pPr>
      <w:r>
        <w:rPr>
          <w:rFonts w:cs="Arial"/>
          <w:b/>
          <w:sz w:val="28"/>
          <w:szCs w:val="28"/>
        </w:rPr>
        <w:br w:type="page"/>
      </w:r>
    </w:p>
    <w:p w14:paraId="2A2F78C7" w14:textId="5BD41606" w:rsidR="00ED4203" w:rsidRPr="00E90651" w:rsidRDefault="00E90651">
      <w:pPr>
        <w:rPr>
          <w:sz w:val="32"/>
          <w:szCs w:val="32"/>
        </w:rPr>
      </w:pPr>
      <w:r w:rsidRPr="00E90651">
        <w:rPr>
          <w:b/>
          <w:sz w:val="32"/>
          <w:szCs w:val="32"/>
        </w:rPr>
        <w:t>sport</w:t>
      </w:r>
      <w:r w:rsidRPr="00E90651">
        <w:rPr>
          <w:sz w:val="32"/>
          <w:szCs w:val="32"/>
        </w:rPr>
        <w:t>scotland</w:t>
      </w:r>
    </w:p>
    <w:p w14:paraId="00AD0CE6" w14:textId="213F258F" w:rsidR="00E90651" w:rsidRPr="006A6997" w:rsidRDefault="00E90651">
      <w:pPr>
        <w:rPr>
          <w:sz w:val="32"/>
          <w:szCs w:val="32"/>
        </w:rPr>
      </w:pPr>
      <w:r w:rsidRPr="00E90651">
        <w:rPr>
          <w:sz w:val="32"/>
          <w:szCs w:val="32"/>
        </w:rPr>
        <w:t>Public Service Reform (Scotlan</w:t>
      </w:r>
      <w:r w:rsidR="006A6997">
        <w:rPr>
          <w:sz w:val="32"/>
          <w:szCs w:val="32"/>
        </w:rPr>
        <w:t>d) Act 2010 Disclosures 20</w:t>
      </w:r>
      <w:r w:rsidR="00CB3177">
        <w:rPr>
          <w:sz w:val="32"/>
          <w:szCs w:val="32"/>
        </w:rPr>
        <w:t>2</w:t>
      </w:r>
      <w:r w:rsidR="003B0D84">
        <w:rPr>
          <w:sz w:val="32"/>
          <w:szCs w:val="32"/>
        </w:rPr>
        <w:t>2</w:t>
      </w:r>
      <w:r w:rsidR="00BF4BFD">
        <w:rPr>
          <w:sz w:val="32"/>
          <w:szCs w:val="32"/>
        </w:rPr>
        <w:t>-2</w:t>
      </w:r>
      <w:r w:rsidR="003B0D84">
        <w:rPr>
          <w:sz w:val="32"/>
          <w:szCs w:val="32"/>
        </w:rPr>
        <w:t>3</w:t>
      </w:r>
    </w:p>
    <w:p w14:paraId="09D49439" w14:textId="77777777" w:rsidR="00E90651" w:rsidRPr="00B47C78" w:rsidRDefault="00E90651" w:rsidP="00E90651">
      <w:pPr>
        <w:pStyle w:val="ListParagraph"/>
        <w:numPr>
          <w:ilvl w:val="0"/>
          <w:numId w:val="1"/>
        </w:numPr>
        <w:rPr>
          <w:b/>
        </w:rPr>
      </w:pPr>
      <w:r w:rsidRPr="00B47C78">
        <w:rPr>
          <w:b/>
        </w:rPr>
        <w:t>Introduction</w:t>
      </w:r>
    </w:p>
    <w:p w14:paraId="3B46F8D2" w14:textId="77777777" w:rsidR="00E90651" w:rsidRDefault="00E90651" w:rsidP="00E90651">
      <w:pPr>
        <w:pStyle w:val="ListParagraph"/>
      </w:pPr>
    </w:p>
    <w:p w14:paraId="2CC4526A" w14:textId="77777777" w:rsidR="00E90651" w:rsidRDefault="00E90651" w:rsidP="00806012">
      <w:pPr>
        <w:pStyle w:val="ListParagraph"/>
        <w:numPr>
          <w:ilvl w:val="1"/>
          <w:numId w:val="1"/>
        </w:numPr>
        <w:jc w:val="both"/>
      </w:pPr>
      <w:r>
        <w:t>The Public Services Reform (Scotland) Act 2010 introduced duties to publish information for public bodies in Scotland.</w:t>
      </w:r>
    </w:p>
    <w:p w14:paraId="73EAA75D" w14:textId="77777777" w:rsidR="003F1246" w:rsidRDefault="003F1246" w:rsidP="003F1246">
      <w:pPr>
        <w:pStyle w:val="ListParagraph"/>
        <w:ind w:left="735"/>
        <w:jc w:val="both"/>
      </w:pPr>
    </w:p>
    <w:p w14:paraId="029A7EA2" w14:textId="5D761870" w:rsidR="00E90651" w:rsidRDefault="00E90651" w:rsidP="00806012">
      <w:pPr>
        <w:pStyle w:val="ListParagraph"/>
        <w:numPr>
          <w:ilvl w:val="1"/>
          <w:numId w:val="1"/>
        </w:numPr>
        <w:jc w:val="both"/>
      </w:pPr>
      <w:r>
        <w:t xml:space="preserve">This report summarises the information required to be disclosed by the Act in relation to </w:t>
      </w:r>
      <w:r w:rsidRPr="00E90651">
        <w:rPr>
          <w:b/>
        </w:rPr>
        <w:t>sport</w:t>
      </w:r>
      <w:r>
        <w:t xml:space="preserve">scotland and the </w:t>
      </w:r>
      <w:r w:rsidRPr="00E90651">
        <w:rPr>
          <w:b/>
        </w:rPr>
        <w:t>sport</w:t>
      </w:r>
      <w:r>
        <w:t>scotland National Lottery Distribution Fund for the financial year ended 31 March 20</w:t>
      </w:r>
      <w:r w:rsidR="00BF4BFD">
        <w:t>2</w:t>
      </w:r>
      <w:r w:rsidR="003B0D84">
        <w:t>3</w:t>
      </w:r>
      <w:r w:rsidR="00BF4BFD">
        <w:t>.</w:t>
      </w:r>
    </w:p>
    <w:p w14:paraId="7BF8C352" w14:textId="77777777" w:rsidR="00E90651" w:rsidRDefault="00E90651" w:rsidP="00E90651">
      <w:pPr>
        <w:pStyle w:val="ListParagraph"/>
      </w:pPr>
    </w:p>
    <w:p w14:paraId="116A2305" w14:textId="77777777" w:rsidR="00E90651" w:rsidRPr="00B47C78" w:rsidRDefault="00E90651" w:rsidP="00E90651">
      <w:pPr>
        <w:pStyle w:val="ListParagraph"/>
        <w:numPr>
          <w:ilvl w:val="0"/>
          <w:numId w:val="1"/>
        </w:numPr>
        <w:rPr>
          <w:b/>
        </w:rPr>
      </w:pPr>
      <w:r w:rsidRPr="00B47C78">
        <w:rPr>
          <w:b/>
        </w:rPr>
        <w:t>Disclosures</w:t>
      </w:r>
    </w:p>
    <w:tbl>
      <w:tblPr>
        <w:tblStyle w:val="TableGrid"/>
        <w:tblW w:w="0" w:type="auto"/>
        <w:tblLook w:val="04A0" w:firstRow="1" w:lastRow="0" w:firstColumn="1" w:lastColumn="0" w:noHBand="0" w:noVBand="1"/>
      </w:tblPr>
      <w:tblGrid>
        <w:gridCol w:w="1795"/>
        <w:gridCol w:w="2365"/>
        <w:gridCol w:w="4856"/>
      </w:tblGrid>
      <w:tr w:rsidR="00E90651" w:rsidRPr="00B47C78" w14:paraId="1E2E0514" w14:textId="77777777" w:rsidTr="50A2A37C">
        <w:tc>
          <w:tcPr>
            <w:tcW w:w="1809" w:type="dxa"/>
          </w:tcPr>
          <w:p w14:paraId="2FCE3562" w14:textId="77777777" w:rsidR="00E90651" w:rsidRPr="00B47C78" w:rsidRDefault="00E90651" w:rsidP="00E90651">
            <w:pPr>
              <w:rPr>
                <w:b/>
              </w:rPr>
            </w:pPr>
            <w:r w:rsidRPr="00B47C78">
              <w:rPr>
                <w:b/>
              </w:rPr>
              <w:t>Category</w:t>
            </w:r>
          </w:p>
        </w:tc>
        <w:tc>
          <w:tcPr>
            <w:tcW w:w="2410" w:type="dxa"/>
          </w:tcPr>
          <w:p w14:paraId="14E2BDC8" w14:textId="2632E21B" w:rsidR="00E90651" w:rsidRPr="00B47C78" w:rsidRDefault="00E90651" w:rsidP="50A2A37C">
            <w:pPr>
              <w:rPr>
                <w:b/>
                <w:bCs/>
              </w:rPr>
            </w:pPr>
            <w:r w:rsidRPr="50A2A37C">
              <w:rPr>
                <w:b/>
                <w:bCs/>
              </w:rPr>
              <w:t>Expenditure 20</w:t>
            </w:r>
            <w:r w:rsidR="003B0D84">
              <w:rPr>
                <w:b/>
                <w:bCs/>
              </w:rPr>
              <w:t>22/23</w:t>
            </w:r>
          </w:p>
        </w:tc>
        <w:tc>
          <w:tcPr>
            <w:tcW w:w="5023" w:type="dxa"/>
          </w:tcPr>
          <w:p w14:paraId="59975894" w14:textId="77777777" w:rsidR="00E90651" w:rsidRPr="00B47C78" w:rsidRDefault="00E90651" w:rsidP="00E90651">
            <w:pPr>
              <w:rPr>
                <w:b/>
              </w:rPr>
            </w:pPr>
            <w:r w:rsidRPr="00B47C78">
              <w:rPr>
                <w:b/>
              </w:rPr>
              <w:t>Comments</w:t>
            </w:r>
          </w:p>
        </w:tc>
      </w:tr>
      <w:tr w:rsidR="00E90651" w14:paraId="462BBD80" w14:textId="77777777" w:rsidTr="50A2A37C">
        <w:tc>
          <w:tcPr>
            <w:tcW w:w="1809" w:type="dxa"/>
          </w:tcPr>
          <w:p w14:paraId="6685858A" w14:textId="77777777" w:rsidR="00E90651" w:rsidRDefault="00E90651" w:rsidP="00E90651">
            <w:r>
              <w:t>Public relations</w:t>
            </w:r>
          </w:p>
        </w:tc>
        <w:tc>
          <w:tcPr>
            <w:tcW w:w="2410" w:type="dxa"/>
          </w:tcPr>
          <w:p w14:paraId="3E48306E" w14:textId="79563E42" w:rsidR="00E90651" w:rsidRPr="00FA4B6B" w:rsidRDefault="00E90651" w:rsidP="00E90651">
            <w:pPr>
              <w:rPr>
                <w:highlight w:val="yellow"/>
              </w:rPr>
            </w:pPr>
            <w:r w:rsidRPr="000248C2">
              <w:t xml:space="preserve">Total staff costs = </w:t>
            </w:r>
            <w:r w:rsidR="00D6604A" w:rsidRPr="00494D6F">
              <w:t>£</w:t>
            </w:r>
            <w:r w:rsidR="000248C2" w:rsidRPr="00494D6F">
              <w:t>1</w:t>
            </w:r>
            <w:r w:rsidR="00494D6F">
              <w:t>64</w:t>
            </w:r>
            <w:r w:rsidR="00D6604A" w:rsidRPr="00494D6F">
              <w:t>k (of which £</w:t>
            </w:r>
            <w:r w:rsidR="000248C2" w:rsidRPr="00494D6F">
              <w:t>1</w:t>
            </w:r>
            <w:r w:rsidR="00DB45CA" w:rsidRPr="00494D6F">
              <w:t>2</w:t>
            </w:r>
            <w:r w:rsidR="00EF48EB">
              <w:t>6</w:t>
            </w:r>
            <w:r w:rsidR="00D6604A" w:rsidRPr="00494D6F">
              <w:t>k is salaries and £</w:t>
            </w:r>
            <w:r w:rsidR="000248C2" w:rsidRPr="00494D6F">
              <w:t>3</w:t>
            </w:r>
            <w:r w:rsidR="001B25AE">
              <w:t>8</w:t>
            </w:r>
            <w:r w:rsidR="00D6604A" w:rsidRPr="00494D6F">
              <w:t>k</w:t>
            </w:r>
            <w:r w:rsidRPr="00494D6F">
              <w:t xml:space="preserve"> is on</w:t>
            </w:r>
            <w:r w:rsidR="00E97562">
              <w:t>-</w:t>
            </w:r>
            <w:r w:rsidRPr="00494D6F">
              <w:t>costs</w:t>
            </w:r>
            <w:r w:rsidR="00D6604A" w:rsidRPr="00494D6F">
              <w:t>)</w:t>
            </w:r>
          </w:p>
          <w:p w14:paraId="7276C32D" w14:textId="77777777" w:rsidR="00E90651" w:rsidRPr="00FA4B6B" w:rsidRDefault="00E90651" w:rsidP="00E90651">
            <w:pPr>
              <w:rPr>
                <w:highlight w:val="yellow"/>
              </w:rPr>
            </w:pPr>
          </w:p>
          <w:p w14:paraId="512A7FAC" w14:textId="7DAB5B0C" w:rsidR="00E90651" w:rsidRPr="004D2048" w:rsidRDefault="00D6604A" w:rsidP="00E90651">
            <w:r w:rsidRPr="009B2DCE">
              <w:t>External costs = £</w:t>
            </w:r>
            <w:r w:rsidR="003E6A59" w:rsidRPr="009B2DCE">
              <w:t>1</w:t>
            </w:r>
            <w:r w:rsidR="000710AA" w:rsidRPr="009B2DCE">
              <w:t>2</w:t>
            </w:r>
            <w:r w:rsidR="003E6A59" w:rsidRPr="009B2DCE">
              <w:t>k</w:t>
            </w:r>
          </w:p>
          <w:p w14:paraId="6670B9BB" w14:textId="77777777" w:rsidR="00E90651" w:rsidRPr="004D2048" w:rsidRDefault="00E90651" w:rsidP="00E90651"/>
          <w:p w14:paraId="0D922962" w14:textId="77777777" w:rsidR="00E90651" w:rsidRPr="004D2048" w:rsidRDefault="00E90651" w:rsidP="00E90651"/>
        </w:tc>
        <w:tc>
          <w:tcPr>
            <w:tcW w:w="5023" w:type="dxa"/>
          </w:tcPr>
          <w:p w14:paraId="2A3ACA45" w14:textId="04D761ED" w:rsidR="00E90651" w:rsidRDefault="00E90651" w:rsidP="00E90651">
            <w:r w:rsidRPr="004D2048">
              <w:t>On</w:t>
            </w:r>
            <w:r w:rsidR="00661776">
              <w:t>-</w:t>
            </w:r>
            <w:r w:rsidRPr="004D2048">
              <w:t>costs relate to employer’s national insurance and employer’s pension contributions.</w:t>
            </w:r>
          </w:p>
          <w:p w14:paraId="16694780" w14:textId="77777777" w:rsidR="00F5077C" w:rsidRPr="004D2048" w:rsidRDefault="00F5077C" w:rsidP="00E90651"/>
          <w:p w14:paraId="257A48D2" w14:textId="0B2DCCC4" w:rsidR="00E90651" w:rsidRDefault="00E90651" w:rsidP="00E90651">
            <w:r w:rsidRPr="004D2048">
              <w:t xml:space="preserve">External costs for the public relations category </w:t>
            </w:r>
            <w:r w:rsidR="00661776" w:rsidRPr="004D2048">
              <w:t>include</w:t>
            </w:r>
            <w:r w:rsidRPr="004D2048">
              <w:t xml:space="preserve"> expenditure on media relations and PR.</w:t>
            </w:r>
          </w:p>
          <w:p w14:paraId="5850862B" w14:textId="77777777" w:rsidR="00F5077C" w:rsidRPr="004D2048" w:rsidRDefault="00F5077C" w:rsidP="00E90651"/>
          <w:p w14:paraId="43BF5776" w14:textId="77777777" w:rsidR="00E90651" w:rsidRDefault="00E90651" w:rsidP="00E90651">
            <w:r w:rsidRPr="004D2048">
              <w:t xml:space="preserve">This activity is aimed at helping </w:t>
            </w:r>
            <w:r w:rsidRPr="48F06CD5">
              <w:rPr>
                <w:b/>
                <w:bCs/>
              </w:rPr>
              <w:t>sport</w:t>
            </w:r>
            <w:r w:rsidRPr="004D2048">
              <w:t xml:space="preserve">scotland to fulfil its role in developing and promoting a world class sporting system in Scotland, raising awareness of achievements in sport from grassroots to high performance and sharing information effectively on the work of </w:t>
            </w:r>
            <w:r w:rsidRPr="48F06CD5">
              <w:rPr>
                <w:b/>
                <w:bCs/>
              </w:rPr>
              <w:t>sport</w:t>
            </w:r>
            <w:r w:rsidRPr="004D2048">
              <w:t>scotland.</w:t>
            </w:r>
          </w:p>
          <w:p w14:paraId="7A205A0E" w14:textId="60309B36" w:rsidR="00F5077C" w:rsidRPr="004D2048" w:rsidRDefault="00F5077C" w:rsidP="00E90651"/>
        </w:tc>
      </w:tr>
      <w:tr w:rsidR="00E90651" w14:paraId="709E4118" w14:textId="77777777" w:rsidTr="50A2A37C">
        <w:tc>
          <w:tcPr>
            <w:tcW w:w="1809" w:type="dxa"/>
          </w:tcPr>
          <w:p w14:paraId="1711BF6E" w14:textId="77777777" w:rsidR="00E90651" w:rsidRDefault="00E90651" w:rsidP="00E90651">
            <w:r>
              <w:t>Overseas travel</w:t>
            </w:r>
          </w:p>
        </w:tc>
        <w:tc>
          <w:tcPr>
            <w:tcW w:w="2410" w:type="dxa"/>
          </w:tcPr>
          <w:p w14:paraId="1EE98FF7" w14:textId="2250DF48" w:rsidR="00E90651" w:rsidRPr="005B4C21" w:rsidRDefault="00D6604A" w:rsidP="00E90651">
            <w:r w:rsidRPr="005B1DFF">
              <w:t>£</w:t>
            </w:r>
            <w:r w:rsidR="004C05A1">
              <w:t>88k</w:t>
            </w:r>
          </w:p>
        </w:tc>
        <w:tc>
          <w:tcPr>
            <w:tcW w:w="5023" w:type="dxa"/>
          </w:tcPr>
          <w:p w14:paraId="6ABC986E" w14:textId="77777777" w:rsidR="00B47C78" w:rsidRDefault="00E90651" w:rsidP="00E90651">
            <w:r w:rsidRPr="005B4C21">
              <w:t>As part of our role</w:t>
            </w:r>
            <w:r w:rsidR="00B47C78" w:rsidRPr="005B4C21">
              <w:t xml:space="preserve"> in promoting and supporting the world class sporting system in Scotland, there is </w:t>
            </w:r>
            <w:r w:rsidR="00823389">
              <w:t xml:space="preserve">sometimes </w:t>
            </w:r>
            <w:r w:rsidR="00B47C78" w:rsidRPr="005B4C21">
              <w:t xml:space="preserve">a requirement for </w:t>
            </w:r>
            <w:r w:rsidR="00B47C78" w:rsidRPr="004F42EE">
              <w:rPr>
                <w:b/>
                <w:bCs/>
              </w:rPr>
              <w:t>sport</w:t>
            </w:r>
            <w:r w:rsidR="00B47C78" w:rsidRPr="005B4C21">
              <w:t>scotland staff to travel overseas in support of key international competitions and training events.</w:t>
            </w:r>
          </w:p>
          <w:p w14:paraId="46D1906B" w14:textId="019FCE5E" w:rsidR="00F5077C" w:rsidRPr="005B4C21" w:rsidRDefault="00F5077C" w:rsidP="00E90651"/>
        </w:tc>
      </w:tr>
      <w:tr w:rsidR="00E90651" w14:paraId="44543D7D" w14:textId="77777777" w:rsidTr="50A2A37C">
        <w:tc>
          <w:tcPr>
            <w:tcW w:w="1809" w:type="dxa"/>
          </w:tcPr>
          <w:p w14:paraId="0234346D" w14:textId="77777777" w:rsidR="00E90651" w:rsidRDefault="00B47C78" w:rsidP="00E90651">
            <w:r>
              <w:t>Hospitality and entertainment</w:t>
            </w:r>
          </w:p>
        </w:tc>
        <w:tc>
          <w:tcPr>
            <w:tcW w:w="2410" w:type="dxa"/>
          </w:tcPr>
          <w:p w14:paraId="7909B294" w14:textId="7F1F1F5F" w:rsidR="00B47C78" w:rsidRDefault="00B47C78" w:rsidP="00E90651">
            <w:r w:rsidRPr="48F06CD5">
              <w:rPr>
                <w:b/>
                <w:bCs/>
              </w:rPr>
              <w:t>sport</w:t>
            </w:r>
            <w:r w:rsidR="00D6604A" w:rsidRPr="004D2048">
              <w:t>scotland staff expenses = nil</w:t>
            </w:r>
          </w:p>
          <w:p w14:paraId="5638B93B" w14:textId="4C1FBFB0" w:rsidR="00F5077C" w:rsidRPr="006202C7" w:rsidRDefault="00F5077C" w:rsidP="00E90651"/>
        </w:tc>
        <w:tc>
          <w:tcPr>
            <w:tcW w:w="5023" w:type="dxa"/>
          </w:tcPr>
          <w:p w14:paraId="5926E60C" w14:textId="0E45AF17" w:rsidR="00E90651" w:rsidRPr="00CF73C5" w:rsidRDefault="00E90651" w:rsidP="00E90651">
            <w:pPr>
              <w:rPr>
                <w:highlight w:val="yellow"/>
              </w:rPr>
            </w:pPr>
          </w:p>
        </w:tc>
      </w:tr>
      <w:tr w:rsidR="00E90651" w14:paraId="1FF87383" w14:textId="77777777" w:rsidTr="50A2A37C">
        <w:tc>
          <w:tcPr>
            <w:tcW w:w="1809" w:type="dxa"/>
          </w:tcPr>
          <w:p w14:paraId="6EC7CA29" w14:textId="77777777" w:rsidR="00E90651" w:rsidRDefault="00B47C78" w:rsidP="00E90651">
            <w:r>
              <w:t>External consultancy</w:t>
            </w:r>
          </w:p>
          <w:p w14:paraId="01A37A5D" w14:textId="77777777" w:rsidR="00B47C78" w:rsidRDefault="00B47C78" w:rsidP="00E90651"/>
        </w:tc>
        <w:tc>
          <w:tcPr>
            <w:tcW w:w="2410" w:type="dxa"/>
          </w:tcPr>
          <w:p w14:paraId="7799F1D0" w14:textId="0A4D0C1C" w:rsidR="00E90651" w:rsidRPr="004D2048" w:rsidRDefault="00D6604A" w:rsidP="00E90651">
            <w:r w:rsidRPr="00D76A61">
              <w:t>£</w:t>
            </w:r>
            <w:r w:rsidR="00885980">
              <w:t>59</w:t>
            </w:r>
            <w:r w:rsidRPr="00D76A61">
              <w:t>k</w:t>
            </w:r>
          </w:p>
        </w:tc>
        <w:tc>
          <w:tcPr>
            <w:tcW w:w="5023" w:type="dxa"/>
          </w:tcPr>
          <w:p w14:paraId="57137190" w14:textId="1A5EEC23" w:rsidR="00F5077C" w:rsidRPr="00C36018" w:rsidRDefault="00D6604A" w:rsidP="00645D6F">
            <w:r w:rsidRPr="008C610E">
              <w:t>The main area</w:t>
            </w:r>
            <w:r w:rsidR="00B47C78" w:rsidRPr="008C610E">
              <w:t xml:space="preserve"> of consulta</w:t>
            </w:r>
            <w:r w:rsidR="00C6495A" w:rsidRPr="008C610E">
              <w:t>ncy expenditure in 20</w:t>
            </w:r>
            <w:r w:rsidR="003B0D84">
              <w:t>22-23</w:t>
            </w:r>
            <w:r w:rsidR="00C6495A" w:rsidRPr="008C610E">
              <w:t xml:space="preserve"> </w:t>
            </w:r>
            <w:r w:rsidRPr="008C610E">
              <w:t>was</w:t>
            </w:r>
            <w:r w:rsidR="00F35175">
              <w:t xml:space="preserve"> </w:t>
            </w:r>
            <w:r w:rsidR="00524D16">
              <w:t>for concussion education</w:t>
            </w:r>
            <w:r w:rsidR="00BA4977">
              <w:t xml:space="preserve"> and web development</w:t>
            </w:r>
            <w:r w:rsidR="00645D6F">
              <w:t xml:space="preserve"> and cyber defence</w:t>
            </w:r>
            <w:r w:rsidR="00BA4977">
              <w:t xml:space="preserve">, </w:t>
            </w:r>
            <w:r w:rsidR="00BA4977" w:rsidRPr="008C610E">
              <w:t xml:space="preserve">along </w:t>
            </w:r>
            <w:r w:rsidR="00BA4977">
              <w:t>with the annual</w:t>
            </w:r>
            <w:r w:rsidR="006E3131">
              <w:t xml:space="preserve"> </w:t>
            </w:r>
            <w:r w:rsidR="00A70913">
              <w:t>pension valuation report</w:t>
            </w:r>
            <w:r w:rsidR="00645D6F">
              <w:t xml:space="preserve"> and </w:t>
            </w:r>
            <w:r w:rsidR="004D2048" w:rsidRPr="008C610E">
              <w:t>some specialist support for HR and IT</w:t>
            </w:r>
            <w:r w:rsidR="00C6495A" w:rsidRPr="008C610E">
              <w:t>.</w:t>
            </w:r>
          </w:p>
        </w:tc>
      </w:tr>
    </w:tbl>
    <w:p w14:paraId="048FDF7A" w14:textId="77777777" w:rsidR="006A6997" w:rsidRDefault="006A6997" w:rsidP="00E90651"/>
    <w:p w14:paraId="4D9CFD9B" w14:textId="77777777" w:rsidR="005B4C21" w:rsidRDefault="005B4C21">
      <w:pPr>
        <w:rPr>
          <w:b/>
        </w:rPr>
      </w:pPr>
      <w:r>
        <w:rPr>
          <w:b/>
        </w:rPr>
        <w:br w:type="page"/>
      </w:r>
    </w:p>
    <w:p w14:paraId="17E3D8A6" w14:textId="0A6130E2" w:rsidR="00B47C78" w:rsidRPr="006630F4" w:rsidRDefault="009405C4" w:rsidP="009405C4">
      <w:pPr>
        <w:pStyle w:val="ListParagraph"/>
        <w:numPr>
          <w:ilvl w:val="0"/>
          <w:numId w:val="1"/>
        </w:numPr>
        <w:rPr>
          <w:b/>
        </w:rPr>
      </w:pPr>
      <w:r w:rsidRPr="006630F4">
        <w:rPr>
          <w:b/>
        </w:rPr>
        <w:t xml:space="preserve">Payments </w:t>
      </w:r>
      <w:proofErr w:type="gramStart"/>
      <w:r w:rsidRPr="006630F4">
        <w:rPr>
          <w:b/>
        </w:rPr>
        <w:t>in excess of</w:t>
      </w:r>
      <w:proofErr w:type="gramEnd"/>
      <w:r w:rsidRPr="006630F4">
        <w:rPr>
          <w:b/>
        </w:rPr>
        <w:t xml:space="preserve"> £25,000</w:t>
      </w:r>
    </w:p>
    <w:p w14:paraId="226ABEF5" w14:textId="77777777" w:rsidR="009405C4" w:rsidRDefault="009405C4" w:rsidP="009405C4">
      <w:pPr>
        <w:pStyle w:val="ListParagraph"/>
      </w:pPr>
    </w:p>
    <w:p w14:paraId="7B4C197A" w14:textId="373DDA8B" w:rsidR="00806012" w:rsidRPr="005B4C21" w:rsidRDefault="006630F4" w:rsidP="009414AE">
      <w:pPr>
        <w:pStyle w:val="ListParagraph"/>
        <w:numPr>
          <w:ilvl w:val="1"/>
          <w:numId w:val="1"/>
        </w:numPr>
      </w:pPr>
      <w:r>
        <w:t>Payments i</w:t>
      </w:r>
      <w:r w:rsidR="009405C4">
        <w:t>n excess of £25,000 can be found at</w:t>
      </w:r>
      <w:r w:rsidR="00C73AAE">
        <w:t>:</w:t>
      </w:r>
      <w:r w:rsidR="003B0D84">
        <w:t xml:space="preserve"> </w:t>
      </w:r>
      <w:hyperlink r:id="rId14" w:history="1">
        <w:r w:rsidR="00C73AAE">
          <w:rPr>
            <w:rStyle w:val="Hyperlink"/>
          </w:rPr>
          <w:t>Public Services Reform (Scotland) Act 2010 (sportscotland.org.uk)</w:t>
        </w:r>
      </w:hyperlink>
    </w:p>
    <w:p w14:paraId="11A948BF" w14:textId="77777777" w:rsidR="005B4C21" w:rsidRPr="009414AE" w:rsidRDefault="005B4C21" w:rsidP="005B4C21">
      <w:pPr>
        <w:ind w:left="360"/>
      </w:pPr>
    </w:p>
    <w:p w14:paraId="4051D1DC" w14:textId="21E22257" w:rsidR="006630F4" w:rsidRPr="00BD67C3" w:rsidRDefault="006630F4" w:rsidP="006630F4">
      <w:pPr>
        <w:pStyle w:val="ListParagraph"/>
        <w:numPr>
          <w:ilvl w:val="0"/>
          <w:numId w:val="1"/>
        </w:numPr>
        <w:rPr>
          <w:b/>
        </w:rPr>
      </w:pPr>
      <w:r w:rsidRPr="00BD67C3">
        <w:rPr>
          <w:b/>
        </w:rPr>
        <w:t xml:space="preserve">Staff earning over </w:t>
      </w:r>
      <w:proofErr w:type="gramStart"/>
      <w:r w:rsidRPr="00BD67C3">
        <w:rPr>
          <w:b/>
        </w:rPr>
        <w:t>£150,000</w:t>
      </w:r>
      <w:proofErr w:type="gramEnd"/>
    </w:p>
    <w:p w14:paraId="66E2438F" w14:textId="77777777" w:rsidR="00BD67C3" w:rsidRDefault="00BD67C3" w:rsidP="00BD67C3">
      <w:pPr>
        <w:pStyle w:val="ListParagraph"/>
      </w:pPr>
    </w:p>
    <w:p w14:paraId="2456F419" w14:textId="7C8A215B" w:rsidR="006630F4" w:rsidRDefault="006630F4" w:rsidP="006630F4">
      <w:pPr>
        <w:pStyle w:val="ListParagraph"/>
        <w:numPr>
          <w:ilvl w:val="1"/>
          <w:numId w:val="1"/>
        </w:numPr>
      </w:pPr>
      <w:r>
        <w:t>No employee earned over £150,000 in the year ended 31 March 20</w:t>
      </w:r>
      <w:r w:rsidR="00863EF9">
        <w:t>2</w:t>
      </w:r>
      <w:r w:rsidR="003B0D84">
        <w:t>3</w:t>
      </w:r>
      <w:r>
        <w:t>.</w:t>
      </w:r>
    </w:p>
    <w:p w14:paraId="1C97D54D" w14:textId="77777777" w:rsidR="00852B6B" w:rsidRDefault="00852B6B" w:rsidP="00852B6B">
      <w:pPr>
        <w:pStyle w:val="ListParagraph"/>
        <w:ind w:left="735"/>
      </w:pPr>
    </w:p>
    <w:p w14:paraId="3FB95018" w14:textId="46D89626" w:rsidR="006630F4" w:rsidRDefault="00BD67C3" w:rsidP="00806012">
      <w:pPr>
        <w:pStyle w:val="ListParagraph"/>
        <w:numPr>
          <w:ilvl w:val="1"/>
          <w:numId w:val="1"/>
        </w:numPr>
        <w:jc w:val="both"/>
      </w:pPr>
      <w:r>
        <w:t>Details of the remuneration for senior staff and board members can be found in the Remuneration Report published in the Annual Report and Financial statements for the year ended 31 March 20</w:t>
      </w:r>
      <w:r w:rsidR="00F35175">
        <w:t>2</w:t>
      </w:r>
      <w:r w:rsidR="00483D9D">
        <w:t>3</w:t>
      </w:r>
      <w:r>
        <w:t>.</w:t>
      </w:r>
    </w:p>
    <w:p w14:paraId="45173C64" w14:textId="77777777" w:rsidR="00BD67C3" w:rsidRDefault="00BD67C3" w:rsidP="00BD67C3"/>
    <w:p w14:paraId="51CC2C8E" w14:textId="50CC34ED" w:rsidR="00BD67C3" w:rsidRDefault="00BD67C3" w:rsidP="00BD67C3">
      <w:pPr>
        <w:pStyle w:val="ListParagraph"/>
        <w:numPr>
          <w:ilvl w:val="0"/>
          <w:numId w:val="1"/>
        </w:numPr>
        <w:rPr>
          <w:b/>
        </w:rPr>
      </w:pPr>
      <w:r w:rsidRPr="00BD67C3">
        <w:rPr>
          <w:b/>
        </w:rPr>
        <w:t>Statement on sustainable growth</w:t>
      </w:r>
    </w:p>
    <w:p w14:paraId="7886368A" w14:textId="77777777" w:rsidR="00BD67C3" w:rsidRPr="00BD67C3" w:rsidRDefault="00BD67C3" w:rsidP="00BD67C3">
      <w:pPr>
        <w:pStyle w:val="ListParagraph"/>
        <w:rPr>
          <w:b/>
        </w:rPr>
      </w:pPr>
    </w:p>
    <w:p w14:paraId="3E5ECD20" w14:textId="013C9B2A" w:rsidR="00BD67C3" w:rsidRDefault="00BD67C3" w:rsidP="00806012">
      <w:pPr>
        <w:pStyle w:val="ListParagraph"/>
        <w:numPr>
          <w:ilvl w:val="1"/>
          <w:numId w:val="1"/>
        </w:numPr>
        <w:jc w:val="both"/>
      </w:pPr>
      <w:r w:rsidRPr="00BD67C3">
        <w:rPr>
          <w:b/>
        </w:rPr>
        <w:t>sport</w:t>
      </w:r>
      <w:r>
        <w:t>scotland is committed to promoting and increasing sport development and activity through the exercise of its functions.  During the year ended 31 March 20</w:t>
      </w:r>
      <w:r w:rsidR="00F35175">
        <w:t>2</w:t>
      </w:r>
      <w:r w:rsidR="00483D9D">
        <w:t>3</w:t>
      </w:r>
      <w:r>
        <w:t xml:space="preserve">, </w:t>
      </w:r>
      <w:r w:rsidRPr="00774A9D">
        <w:rPr>
          <w:b/>
        </w:rPr>
        <w:t>sport</w:t>
      </w:r>
      <w:r>
        <w:t xml:space="preserve">scotland invested more than </w:t>
      </w:r>
      <w:r w:rsidR="001A08BC" w:rsidRPr="00926CA2">
        <w:t>£</w:t>
      </w:r>
      <w:r w:rsidR="00926CA2" w:rsidRPr="00483D9D">
        <w:t>6</w:t>
      </w:r>
      <w:r w:rsidR="002A2B97">
        <w:t>4</w:t>
      </w:r>
      <w:r w:rsidR="001A08BC">
        <w:t xml:space="preserve"> million </w:t>
      </w:r>
      <w:r>
        <w:t>from both Scottish Government grant in aid and National Lottery funding, in Local Authorities, Sports Governing Bodies</w:t>
      </w:r>
      <w:r w:rsidR="00AB77BF">
        <w:t xml:space="preserve"> (“SGBs”</w:t>
      </w:r>
      <w:r w:rsidR="00C36018">
        <w:t>)</w:t>
      </w:r>
      <w:r>
        <w:t xml:space="preserve">, Community Sports Hubs and Sports Clubs, as well as in supporting athletes through the </w:t>
      </w:r>
      <w:r w:rsidR="00AB77BF" w:rsidRPr="00AB77BF">
        <w:rPr>
          <w:b/>
        </w:rPr>
        <w:t>sport</w:t>
      </w:r>
      <w:r w:rsidR="00AB77BF">
        <w:t>scotland</w:t>
      </w:r>
      <w:r>
        <w:t xml:space="preserve"> Institute of Sport. Significant amounts of this investment </w:t>
      </w:r>
      <w:r w:rsidR="00E371CA">
        <w:t xml:space="preserve">relate to </w:t>
      </w:r>
      <w:r w:rsidR="00CA36A2">
        <w:t>the</w:t>
      </w:r>
      <w:r>
        <w:t xml:space="preserve"> part or full funding of posts throughout the sporting system in Scotland, as well as funding for the development of sporting facilities.</w:t>
      </w:r>
    </w:p>
    <w:p w14:paraId="1457F4FF" w14:textId="77777777" w:rsidR="00956984" w:rsidRDefault="00956984" w:rsidP="00956984">
      <w:pPr>
        <w:pStyle w:val="ListParagraph"/>
        <w:ind w:left="735"/>
      </w:pPr>
    </w:p>
    <w:p w14:paraId="7FA56874" w14:textId="72B1E521" w:rsidR="00BD67C3" w:rsidRDefault="00BD67C3" w:rsidP="00BD67C3">
      <w:pPr>
        <w:pStyle w:val="ListParagraph"/>
        <w:numPr>
          <w:ilvl w:val="1"/>
          <w:numId w:val="1"/>
        </w:numPr>
      </w:pPr>
      <w:r>
        <w:t xml:space="preserve">Some examples of how </w:t>
      </w:r>
      <w:r w:rsidRPr="00BD67C3">
        <w:rPr>
          <w:b/>
        </w:rPr>
        <w:t>sport</w:t>
      </w:r>
      <w:r>
        <w:t>scotland supports sustainable growth include:</w:t>
      </w:r>
    </w:p>
    <w:p w14:paraId="7003EFE2" w14:textId="77777777" w:rsidR="00BD67C3" w:rsidRDefault="00BD67C3" w:rsidP="00BD67C3">
      <w:pPr>
        <w:pStyle w:val="ListParagraph"/>
        <w:ind w:left="735"/>
      </w:pPr>
    </w:p>
    <w:p w14:paraId="7108F455" w14:textId="77777777" w:rsidR="00B455B0" w:rsidRPr="00B455B0" w:rsidRDefault="00B455B0" w:rsidP="00B455B0">
      <w:pPr>
        <w:pStyle w:val="Heading5"/>
        <w:ind w:left="567"/>
        <w:rPr>
          <w:rFonts w:asciiTheme="minorHAnsi" w:hAnsiTheme="minorHAnsi" w:cstheme="minorHAnsi"/>
          <w:i/>
          <w:iCs/>
          <w:sz w:val="22"/>
          <w:szCs w:val="22"/>
        </w:rPr>
      </w:pPr>
      <w:r w:rsidRPr="00B455B0">
        <w:rPr>
          <w:rFonts w:asciiTheme="minorHAnsi" w:hAnsiTheme="minorHAnsi" w:cstheme="minorHAnsi"/>
          <w:i/>
          <w:iCs/>
          <w:sz w:val="22"/>
          <w:szCs w:val="22"/>
        </w:rPr>
        <w:t>Clubs and communities</w:t>
      </w:r>
    </w:p>
    <w:p w14:paraId="3587EA65" w14:textId="40383C31" w:rsidR="007329DE" w:rsidRPr="007329DE" w:rsidRDefault="00E67083" w:rsidP="00326BEC">
      <w:pPr>
        <w:pStyle w:val="BodyText1"/>
        <w:spacing w:before="100" w:beforeAutospacing="1" w:after="100" w:afterAutospacing="1"/>
        <w:ind w:left="567"/>
        <w:jc w:val="both"/>
        <w:rPr>
          <w:rFonts w:asciiTheme="minorHAnsi" w:hAnsiTheme="minorHAnsi"/>
          <w:szCs w:val="22"/>
          <w:lang w:val="en-GB"/>
        </w:rPr>
      </w:pPr>
      <w:r>
        <w:rPr>
          <w:rFonts w:asciiTheme="minorHAnsi" w:hAnsiTheme="minorHAnsi"/>
          <w:b/>
          <w:bCs/>
          <w:szCs w:val="22"/>
          <w:lang w:val="en-GB"/>
        </w:rPr>
        <w:t>s</w:t>
      </w:r>
      <w:r w:rsidR="00FA4286" w:rsidRPr="00E67083">
        <w:rPr>
          <w:rFonts w:asciiTheme="minorHAnsi" w:hAnsiTheme="minorHAnsi"/>
          <w:b/>
          <w:bCs/>
          <w:szCs w:val="22"/>
          <w:lang w:val="en-GB"/>
        </w:rPr>
        <w:t>port</w:t>
      </w:r>
      <w:r>
        <w:rPr>
          <w:rFonts w:asciiTheme="minorHAnsi" w:hAnsiTheme="minorHAnsi"/>
          <w:szCs w:val="22"/>
          <w:lang w:val="en-GB"/>
        </w:rPr>
        <w:t xml:space="preserve">scotland </w:t>
      </w:r>
      <w:r w:rsidR="007329DE" w:rsidRPr="007329DE">
        <w:rPr>
          <w:rFonts w:asciiTheme="minorHAnsi" w:hAnsiTheme="minorHAnsi"/>
          <w:szCs w:val="22"/>
          <w:lang w:val="en-GB"/>
        </w:rPr>
        <w:t xml:space="preserve">worked with SGBs and other specific partners to determine what enhanced support we could provide to support them post-pandemic. Following this, we contracted a new Case Management and Support Service to embed additional safeguarding and investigations resource in partners. This aims to improve efficiency and expertise in relation to safeguarding, child wellbeing and protection. We continue to support all invested SGBs to ensure compliance with Safeguarding Standards and the UK Anti-Doping (UKAD) framework. We also established a new SGB welfare and protection board leads group with 20 SGBs and regularly meet with the Home Country Safeguarding working group to collaborate on projects in this area of common interest.  </w:t>
      </w:r>
    </w:p>
    <w:p w14:paraId="3A3801AE" w14:textId="77777777" w:rsidR="007329DE" w:rsidRPr="007329DE" w:rsidRDefault="007329DE" w:rsidP="00326BEC">
      <w:pPr>
        <w:pStyle w:val="BodyText1"/>
        <w:spacing w:before="100" w:beforeAutospacing="1" w:after="100" w:afterAutospacing="1"/>
        <w:jc w:val="both"/>
        <w:rPr>
          <w:rFonts w:asciiTheme="minorHAnsi" w:hAnsiTheme="minorHAnsi"/>
          <w:szCs w:val="22"/>
          <w:lang w:val="en-GB"/>
        </w:rPr>
      </w:pPr>
    </w:p>
    <w:p w14:paraId="09BB2D11" w14:textId="3F0524A3"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supported the delivery of Whyte Review Workshops for CEOs, Heads of Development, national </w:t>
      </w:r>
      <w:proofErr w:type="gramStart"/>
      <w:r w:rsidRPr="007329DE">
        <w:rPr>
          <w:rFonts w:asciiTheme="minorHAnsi" w:hAnsiTheme="minorHAnsi"/>
          <w:szCs w:val="22"/>
          <w:lang w:val="en-GB"/>
        </w:rPr>
        <w:t>coaches</w:t>
      </w:r>
      <w:proofErr w:type="gramEnd"/>
      <w:r w:rsidRPr="007329DE">
        <w:rPr>
          <w:rFonts w:asciiTheme="minorHAnsi" w:hAnsiTheme="minorHAnsi"/>
          <w:szCs w:val="22"/>
          <w:lang w:val="en-GB"/>
        </w:rPr>
        <w:t xml:space="preserve"> and development staff from SGBs with over 80 attendees. These sessions were designed to be both informative and developmental, with delivery from Children 1st and Scottish Gymnastics.  </w:t>
      </w:r>
    </w:p>
    <w:p w14:paraId="1AD7293B" w14:textId="72514E4B"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Following the independent review into racism in cricket by Plan4Sport, we continue to support Cricket Scotland to implement the recommendations from the Changing the Boundaries report into racism within the sport.  We provided additional financial assistance to cricket to help progress the recruitment of a specialist HR function, diversify their board recruitment process and review and update their policies and procedures with an anti-racism and Equality, </w:t>
      </w:r>
      <w:proofErr w:type="gramStart"/>
      <w:r w:rsidRPr="007329DE">
        <w:rPr>
          <w:rFonts w:asciiTheme="minorHAnsi" w:hAnsiTheme="minorHAnsi"/>
          <w:szCs w:val="22"/>
          <w:lang w:val="en-GB"/>
        </w:rPr>
        <w:t>Diversity</w:t>
      </w:r>
      <w:proofErr w:type="gramEnd"/>
      <w:r w:rsidRPr="007329DE">
        <w:rPr>
          <w:rFonts w:asciiTheme="minorHAnsi" w:hAnsiTheme="minorHAnsi"/>
          <w:szCs w:val="22"/>
          <w:lang w:val="en-GB"/>
        </w:rPr>
        <w:t xml:space="preserve"> and Inclusion (EDI) lens.  We also provided support to design, </w:t>
      </w:r>
      <w:proofErr w:type="gramStart"/>
      <w:r w:rsidRPr="007329DE">
        <w:rPr>
          <w:rFonts w:asciiTheme="minorHAnsi" w:hAnsiTheme="minorHAnsi"/>
          <w:szCs w:val="22"/>
          <w:lang w:val="en-GB"/>
        </w:rPr>
        <w:t>build</w:t>
      </w:r>
      <w:proofErr w:type="gramEnd"/>
      <w:r w:rsidRPr="007329DE">
        <w:rPr>
          <w:rFonts w:asciiTheme="minorHAnsi" w:hAnsiTheme="minorHAnsi"/>
          <w:szCs w:val="22"/>
          <w:lang w:val="en-GB"/>
        </w:rPr>
        <w:t xml:space="preserve"> and implement a robust, independent investigations and disciplines process.  </w:t>
      </w:r>
    </w:p>
    <w:p w14:paraId="282BC9E3" w14:textId="53064F4D"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continued to develop our nationwide Community Sports Hubs (CSH) programme. We successfully launched our new CSH brand and logo to increase the visibility of the CSH project both locally and nationally. We rolled out an Impact and Interventions update to the sharing and learning tool for the CSH officer network. The tool aims to create an ethos of shared learning across the network and better capture the activity taking place across hubs, demonstrating more clearly the impact they are having, and the partnerships involved.   </w:t>
      </w:r>
    </w:p>
    <w:p w14:paraId="41D69BAB" w14:textId="1210E7DC"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provided residentials to give CSH Officers the opportunity to connect, share and learn with peers across the hub network. The days included a variety of sessions to support them in their role and foster inclusive approaches in club and community sport. This included workshops run by partners Scottish Disability Sport (SDS) and ENABLE Scotland.  </w:t>
      </w:r>
    </w:p>
    <w:p w14:paraId="73C8A5C8" w14:textId="17D8E431"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progressed our Changing Lives action plan, ensuring it aligns with our new EDI approach. We continued to see commitment from Changing Lives strategic partners on contributing to embed the Changing Lives approach within the sporting system. We delivered Changing Lives Hot Topic sessions for the cohort, with themes including the cost-of-living crisis and delivering sustainable programmes.   </w:t>
      </w:r>
    </w:p>
    <w:p w14:paraId="7B8DA15C" w14:textId="3FD779E8"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continued to build on our strategic partnership with the Scottish Association for Mental Health (SAMH). We supported the launch of the SAMH Club Level Charter, which provides direction and support to club and community organisations to support mental and physical health. We facilitated SAMH mental health workshops to local partners and SGBs, helping professional staff in sport to explore and understand mental health and wellbeing in the context of sport and physical activity. We delivered 171 workshops, with over 2,700 attendances from across our local authority and SGB partners.   </w:t>
      </w:r>
    </w:p>
    <w:p w14:paraId="20642740" w14:textId="09F06D72"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approved investment into 29 projects through the Sports Facilities Fund, totalling £1,975,300. Through the Cycling Facilities fund we approved investment of £1,487,088, into 11 projects. We approved two awards through the Transforming Scottish Indoor Tennis Fund, totalling £305,000. We also approved investment of £1,278,507 into 181 projects through Awards for All.   </w:t>
      </w:r>
    </w:p>
    <w:p w14:paraId="3DB323D1" w14:textId="32169303"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developed our knowledge and understanding of sustainability within facilities. We provided staff training on carbon accounting and </w:t>
      </w:r>
      <w:proofErr w:type="spellStart"/>
      <w:r w:rsidRPr="007329DE">
        <w:rPr>
          <w:rFonts w:asciiTheme="minorHAnsi" w:hAnsiTheme="minorHAnsi"/>
          <w:szCs w:val="22"/>
          <w:lang w:val="en-GB"/>
        </w:rPr>
        <w:t>Passivhaus</w:t>
      </w:r>
      <w:proofErr w:type="spellEnd"/>
      <w:r w:rsidRPr="007329DE">
        <w:rPr>
          <w:rFonts w:asciiTheme="minorHAnsi" w:hAnsiTheme="minorHAnsi"/>
          <w:szCs w:val="22"/>
          <w:lang w:val="en-GB"/>
        </w:rPr>
        <w:t xml:space="preserve"> construction. This will enable us to provide better advice and guidance to the sector on the design and development of sports facilities. We contracted the British Association of Sustainability in Sport (BASIS) to deliver an initial package of support to SGBs, including training, a framework and self-assessment tool, and a session to help them identify their next steps.  </w:t>
      </w:r>
    </w:p>
    <w:p w14:paraId="54C55106" w14:textId="63D39E78" w:rsidR="007329DE" w:rsidRPr="007329DE" w:rsidRDefault="007329DE" w:rsidP="00326BEC">
      <w:pPr>
        <w:pStyle w:val="BodyText1"/>
        <w:spacing w:before="100" w:beforeAutospacing="1" w:after="100" w:afterAutospacing="1"/>
        <w:ind w:left="567"/>
        <w:jc w:val="both"/>
        <w:rPr>
          <w:rFonts w:asciiTheme="minorHAnsi" w:hAnsiTheme="minorHAnsi"/>
          <w:szCs w:val="22"/>
          <w:lang w:val="en-GB"/>
        </w:rPr>
      </w:pPr>
      <w:r w:rsidRPr="007329DE">
        <w:rPr>
          <w:rFonts w:asciiTheme="minorHAnsi" w:hAnsiTheme="minorHAnsi"/>
          <w:szCs w:val="22"/>
          <w:lang w:val="en-GB"/>
        </w:rPr>
        <w:t xml:space="preserve">We launched a new coach education subsidy to support development and qualification costs, prioritising funding for groups which are under-represented within coaching. We worked with SGBs and partners to widen their reach and engagement with under-represented groups and to share good practice. </w:t>
      </w:r>
    </w:p>
    <w:p w14:paraId="7A11F085" w14:textId="418476FE" w:rsidR="007329DE" w:rsidRDefault="007329DE" w:rsidP="00326BEC">
      <w:pPr>
        <w:pStyle w:val="BodyText1"/>
        <w:spacing w:before="100" w:beforeAutospacing="1" w:after="100" w:afterAutospacing="1"/>
        <w:ind w:left="567"/>
        <w:jc w:val="both"/>
        <w:rPr>
          <w:rFonts w:asciiTheme="minorHAnsi" w:hAnsiTheme="minorHAnsi" w:cstheme="minorHAnsi"/>
          <w:i/>
          <w:iCs/>
          <w:szCs w:val="22"/>
        </w:rPr>
      </w:pPr>
      <w:r w:rsidRPr="007329DE">
        <w:rPr>
          <w:rFonts w:asciiTheme="minorHAnsi" w:hAnsiTheme="minorHAnsi"/>
          <w:szCs w:val="22"/>
          <w:lang w:val="en-GB"/>
        </w:rPr>
        <w:t xml:space="preserve">We continued our investment and development of our online learning platform Brightspace. We supported 27 SGBs and 15 other partners to use the platform, reaching 18,732 active learners.  We launched three new EDI courses in partnership with e-coach and two additional communities of practice to support partners delivering the Island Games and for SGB coaching network. We collaborated with home country partners across the UK, with Sport NI and Sport Wales now buying into Brightspace. </w:t>
      </w:r>
    </w:p>
    <w:p w14:paraId="11912778" w14:textId="1C04AA9C" w:rsidR="00B455B0" w:rsidRPr="00B455B0" w:rsidRDefault="00B455B0" w:rsidP="00326BEC">
      <w:pPr>
        <w:pStyle w:val="Heading5"/>
        <w:spacing w:before="100" w:beforeAutospacing="1" w:after="100" w:afterAutospacing="1"/>
        <w:ind w:left="567"/>
        <w:rPr>
          <w:rFonts w:asciiTheme="minorHAnsi" w:hAnsiTheme="minorHAnsi" w:cstheme="minorHAnsi"/>
          <w:i/>
          <w:iCs/>
          <w:sz w:val="22"/>
          <w:szCs w:val="22"/>
        </w:rPr>
      </w:pPr>
      <w:r w:rsidRPr="00B455B0">
        <w:rPr>
          <w:rFonts w:asciiTheme="minorHAnsi" w:hAnsiTheme="minorHAnsi" w:cstheme="minorHAnsi"/>
          <w:i/>
          <w:iCs/>
          <w:sz w:val="22"/>
          <w:szCs w:val="22"/>
        </w:rPr>
        <w:t>Schools and education</w:t>
      </w:r>
    </w:p>
    <w:p w14:paraId="0E9188D4" w14:textId="7FB4106D" w:rsidR="00F85ACF" w:rsidRPr="00F85ACF" w:rsidRDefault="00E623D7"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Pr>
          <w:rFonts w:asciiTheme="minorHAnsi" w:hAnsiTheme="minorHAnsi"/>
          <w:b/>
          <w:bCs/>
          <w:szCs w:val="22"/>
        </w:rPr>
        <w:t>s</w:t>
      </w:r>
      <w:r w:rsidRPr="00E67083">
        <w:rPr>
          <w:rFonts w:asciiTheme="minorHAnsi" w:hAnsiTheme="minorHAnsi"/>
          <w:b/>
          <w:bCs/>
          <w:szCs w:val="22"/>
        </w:rPr>
        <w:t>port</w:t>
      </w:r>
      <w:r>
        <w:rPr>
          <w:rFonts w:asciiTheme="minorHAnsi" w:hAnsiTheme="minorHAnsi"/>
          <w:szCs w:val="22"/>
        </w:rPr>
        <w:t xml:space="preserve">scotland </w:t>
      </w:r>
      <w:r w:rsidR="00F85ACF" w:rsidRPr="00F85ACF">
        <w:rPr>
          <w:rFonts w:asciiTheme="minorHAnsi" w:eastAsiaTheme="minorHAnsi" w:hAnsiTheme="minorHAnsi" w:cstheme="minorBidi"/>
          <w:sz w:val="22"/>
          <w:szCs w:val="22"/>
        </w:rPr>
        <w:t xml:space="preserve">maintained regular dialogue with senior leaders to understand the challenges in sport across local authorities and to support strategic planning for sport across key programmes. We engaged directly with Active Schools and Sports Development Managers from all 32 local authorities to support delivery against the set priorities and local needs in each area as teams settled back into a more normalised post-pandemic academic year. </w:t>
      </w:r>
    </w:p>
    <w:p w14:paraId="003AF134" w14:textId="77777777"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continued to develop the Active Schools workforce. We worked closely with the Chartered Institute of Sport and Physical Activity (CIMSPA), Active Schools and Sports Development Managers to create standards specific to Active Schools coordinators. We developed a training needs analysis process that will help managers identify learning and development priorities for staff. We also worked with Active Schools Managers to explore the opportunities around local delivery of child wellbeing in physical activity and sport (CWPS) training for young leaders.  </w:t>
      </w:r>
    </w:p>
    <w:p w14:paraId="7F24136B" w14:textId="77777777"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worked in partnership with SDS (Scottish Disability Sport) to roll out their Introduction to Inclusive Practice (IIP) e-learning across the Active Schools Network. SDS developed this further into a bespoke Inclusive Practice for Active Schools workshop. This workshop intends to help Active Schools with their approach to schools around engaging ASN (Additional Support Needs) pupils and better meeting their needs. The sessions are delivered together with disabled young people with lived experience which allows for real in-depth discussion and improvements. </w:t>
      </w:r>
    </w:p>
    <w:p w14:paraId="2609F9AB" w14:textId="77777777" w:rsidR="00F85ACF" w:rsidRPr="00F85ACF" w:rsidRDefault="00F85ACF" w:rsidP="00326BEC">
      <w:pPr>
        <w:pStyle w:val="n"/>
        <w:tabs>
          <w:tab w:val="clear" w:pos="794"/>
          <w:tab w:val="clear" w:pos="8959"/>
        </w:tabs>
        <w:spacing w:before="100" w:beforeAutospacing="1" w:after="100" w:afterAutospacing="1"/>
        <w:ind w:left="567" w:firstLine="0"/>
        <w:rPr>
          <w:rFonts w:asciiTheme="minorHAnsi" w:eastAsiaTheme="minorHAnsi" w:hAnsiTheme="minorHAnsi" w:cstheme="minorBidi"/>
          <w:sz w:val="22"/>
          <w:szCs w:val="22"/>
        </w:rPr>
      </w:pPr>
    </w:p>
    <w:p w14:paraId="2A44E4AB" w14:textId="2589594A"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supported cohort five of the Young People’s Sport Panel (YPSP) to deliver across their focus areas. The panel was involved in the design of the Kit for All initiative with local and national partners, promoting Euan’s Guide to raise awareness of the accessibility of sport and leisure venues and inputting into the Scottish Government’s Physical Education consultation. Panel members attended a range of opportunities and events, including the Diversity and Inclusion Awards, the Coaching Officiating and Volunteering Awards, and Scottish Sports Awards.   We also recruited the sixth YPSP cohort, supporting them to settle into their roles and to define their focus areas for the next two years.  </w:t>
      </w:r>
    </w:p>
    <w:p w14:paraId="55A0F2A5" w14:textId="1B845245"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launched the Young Ambassador (YA) programme for the 2022/23 academic year. 308 schools across Scotland signed up for the programme, resulting in 619 YAs. The programme aims to equip young people with the skills to promote and inspire other young people to get involved in sport within their schools and communities. In September 2022, we delivered six Young Ambassador Conferences alongside our YA Delivery Team consisting of 30 young people from 13 different local authorities. All 619 YAs attended the conferences.  </w:t>
      </w:r>
    </w:p>
    <w:p w14:paraId="268040C8" w14:textId="453312C2"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ran Active Girls Day in October 2022. This encourages girls and young women to get involved in a day of sporting celebration with the parallel goal of increasing female participation in PE, physical activity, and sport. We promoted the positive work of our partners, and the incredible role models supporting girls' sport, across our social media channels. We provided a promotional toolkit to help allow schools, clubs, and partners tailor their offering to suit local need. </w:t>
      </w:r>
    </w:p>
    <w:p w14:paraId="79F85B6A" w14:textId="0D4BE717"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revised our Fit for Girls Solutions workshop in partnership with the Youth Sport Trust. We successfully recruited 20 young female leaders to facilitate the sessions. They provide a platform for the voices of girls and young women to be heard. This helps local practitioners understand the needs of girls and young women in sport, both now and in the future. </w:t>
      </w:r>
    </w:p>
    <w:p w14:paraId="436918F7" w14:textId="01198635" w:rsidR="00F85ACF" w:rsidRPr="00F85ACF" w:rsidRDefault="00F85ACF" w:rsidP="003322D2">
      <w:pPr>
        <w:pStyle w:val="n"/>
        <w:tabs>
          <w:tab w:val="clear" w:pos="794"/>
          <w:tab w:val="clear" w:pos="8959"/>
        </w:tabs>
        <w:spacing w:before="100" w:beforeAutospacing="1" w:after="100" w:afterAutospacing="1" w:line="276" w:lineRule="auto"/>
        <w:ind w:left="567" w:firstLine="0"/>
        <w:rPr>
          <w:rFonts w:asciiTheme="minorHAnsi" w:eastAsiaTheme="minorHAnsi" w:hAnsiTheme="minorHAnsi" w:cstheme="minorBidi"/>
          <w:sz w:val="22"/>
          <w:szCs w:val="22"/>
        </w:rPr>
      </w:pPr>
      <w:r w:rsidRPr="00F85ACF">
        <w:rPr>
          <w:rFonts w:asciiTheme="minorHAnsi" w:eastAsiaTheme="minorHAnsi" w:hAnsiTheme="minorHAnsi" w:cstheme="minorBidi"/>
          <w:sz w:val="22"/>
          <w:szCs w:val="22"/>
        </w:rPr>
        <w:t xml:space="preserve">We refreshed the School Sport Award for the 2022/23 academic year, which is an initiative designed to encourage schools to continuously improve physical education (PE) and school sport opportunities. The relaunch included developing a new website and self-assessment tool. 529 schools have registered and are currently progressing with an assessment. </w:t>
      </w:r>
    </w:p>
    <w:p w14:paraId="7597E500" w14:textId="1BBDA0EE" w:rsidR="00326BEC" w:rsidRDefault="00F85ACF" w:rsidP="003322D2">
      <w:pPr>
        <w:pStyle w:val="n"/>
        <w:tabs>
          <w:tab w:val="clear" w:pos="794"/>
          <w:tab w:val="clear" w:pos="8959"/>
        </w:tabs>
        <w:spacing w:before="100" w:beforeAutospacing="1" w:after="100" w:afterAutospacing="1" w:line="276" w:lineRule="auto"/>
        <w:ind w:left="567" w:firstLine="0"/>
        <w:rPr>
          <w:b/>
        </w:rPr>
      </w:pPr>
      <w:r w:rsidRPr="00F85ACF">
        <w:rPr>
          <w:rFonts w:asciiTheme="minorHAnsi" w:eastAsiaTheme="minorHAnsi" w:hAnsiTheme="minorHAnsi" w:cstheme="minorBidi"/>
          <w:sz w:val="22"/>
          <w:szCs w:val="22"/>
        </w:rPr>
        <w:t>We continued to develop our strategic partnership with Public Health Scotland (PHS). A key activity is the development and implementation of a systems-based approach to physical activity in Scotland. We supported PHS in the development and co-facilitation of eight workshop sessions, engaging 80 stakeholders from across 47 organisations.  The workshops covered a range of themes aligned to the International Society for Physical Activity and Health publication ‘The Eight Investments that Work for Physical Activity’. Evidence based strategic actions were identified and agreed in principle by participants. This was used to inform a final report published in November 2022.</w:t>
      </w:r>
      <w:r w:rsidR="00326BEC">
        <w:rPr>
          <w:b/>
        </w:rPr>
        <w:br w:type="page"/>
      </w:r>
    </w:p>
    <w:p w14:paraId="63252C23" w14:textId="0F6D77C1" w:rsidR="00B455B0" w:rsidRPr="00B455B0" w:rsidRDefault="00C6495A" w:rsidP="00B455B0">
      <w:pPr>
        <w:pStyle w:val="n"/>
        <w:numPr>
          <w:ilvl w:val="0"/>
          <w:numId w:val="1"/>
        </w:numPr>
        <w:rPr>
          <w:rFonts w:asciiTheme="minorHAnsi" w:hAnsiTheme="minorHAnsi"/>
          <w:b/>
          <w:sz w:val="22"/>
          <w:szCs w:val="22"/>
        </w:rPr>
      </w:pPr>
      <w:r w:rsidRPr="00C6495A">
        <w:rPr>
          <w:rFonts w:asciiTheme="minorHAnsi" w:hAnsiTheme="minorHAnsi"/>
          <w:b/>
          <w:sz w:val="22"/>
          <w:szCs w:val="22"/>
        </w:rPr>
        <w:t>Efficiency Statement</w:t>
      </w:r>
    </w:p>
    <w:p w14:paraId="7FCD7CCE" w14:textId="44D63521" w:rsidR="00C6495A" w:rsidRDefault="00C6495A" w:rsidP="00C6495A">
      <w:pPr>
        <w:pStyle w:val="n"/>
        <w:numPr>
          <w:ilvl w:val="1"/>
          <w:numId w:val="1"/>
        </w:numPr>
        <w:rPr>
          <w:rFonts w:asciiTheme="minorHAnsi" w:hAnsiTheme="minorHAnsi"/>
          <w:sz w:val="22"/>
          <w:szCs w:val="22"/>
        </w:rPr>
      </w:pPr>
      <w:r w:rsidRPr="006A6997">
        <w:rPr>
          <w:rFonts w:asciiTheme="minorHAnsi" w:hAnsiTheme="minorHAnsi"/>
          <w:b/>
          <w:sz w:val="22"/>
          <w:szCs w:val="22"/>
        </w:rPr>
        <w:t>sport</w:t>
      </w:r>
      <w:r>
        <w:rPr>
          <w:rFonts w:asciiTheme="minorHAnsi" w:hAnsiTheme="minorHAnsi"/>
          <w:sz w:val="22"/>
          <w:szCs w:val="22"/>
        </w:rPr>
        <w:t>scotland continues to be focused on efficiency savings</w:t>
      </w:r>
      <w:r w:rsidR="00650441">
        <w:rPr>
          <w:rFonts w:asciiTheme="minorHAnsi" w:hAnsiTheme="minorHAnsi"/>
          <w:sz w:val="22"/>
          <w:szCs w:val="22"/>
        </w:rPr>
        <w:t>, especially through effective use of procurement, both in terms of running competitive procurement tender processes and us</w:t>
      </w:r>
      <w:r w:rsidR="00AB77BF">
        <w:rPr>
          <w:rFonts w:asciiTheme="minorHAnsi" w:hAnsiTheme="minorHAnsi"/>
          <w:sz w:val="22"/>
          <w:szCs w:val="22"/>
        </w:rPr>
        <w:t>ing</w:t>
      </w:r>
      <w:r w:rsidR="00650441">
        <w:rPr>
          <w:rFonts w:asciiTheme="minorHAnsi" w:hAnsiTheme="minorHAnsi"/>
          <w:sz w:val="22"/>
          <w:szCs w:val="22"/>
        </w:rPr>
        <w:t xml:space="preserve"> centrally negotiated Government frameworks, and through efficient operation of our estate</w:t>
      </w:r>
      <w:r>
        <w:rPr>
          <w:rFonts w:asciiTheme="minorHAnsi" w:hAnsiTheme="minorHAnsi"/>
          <w:sz w:val="22"/>
          <w:szCs w:val="22"/>
        </w:rPr>
        <w:t>.</w:t>
      </w:r>
    </w:p>
    <w:p w14:paraId="2BA50B7F" w14:textId="5070B181" w:rsidR="00C6495A" w:rsidRDefault="00C6495A" w:rsidP="00C6495A">
      <w:pPr>
        <w:pStyle w:val="n"/>
        <w:numPr>
          <w:ilvl w:val="1"/>
          <w:numId w:val="1"/>
        </w:numPr>
        <w:rPr>
          <w:rFonts w:asciiTheme="minorHAnsi" w:hAnsiTheme="minorHAnsi"/>
          <w:sz w:val="22"/>
          <w:szCs w:val="22"/>
        </w:rPr>
      </w:pPr>
      <w:r>
        <w:rPr>
          <w:rFonts w:asciiTheme="minorHAnsi" w:hAnsiTheme="minorHAnsi"/>
          <w:sz w:val="22"/>
          <w:szCs w:val="22"/>
        </w:rPr>
        <w:t>Key areas of focus for savings in the year ended 31 March 20</w:t>
      </w:r>
      <w:r w:rsidR="00C03207">
        <w:rPr>
          <w:rFonts w:asciiTheme="minorHAnsi" w:hAnsiTheme="minorHAnsi"/>
          <w:sz w:val="22"/>
          <w:szCs w:val="22"/>
        </w:rPr>
        <w:t>2</w:t>
      </w:r>
      <w:r w:rsidR="00E623D7">
        <w:rPr>
          <w:rFonts w:asciiTheme="minorHAnsi" w:hAnsiTheme="minorHAnsi"/>
          <w:sz w:val="22"/>
          <w:szCs w:val="22"/>
        </w:rPr>
        <w:t>3</w:t>
      </w:r>
      <w:r>
        <w:rPr>
          <w:rFonts w:asciiTheme="minorHAnsi" w:hAnsiTheme="minorHAnsi"/>
          <w:sz w:val="22"/>
          <w:szCs w:val="22"/>
        </w:rPr>
        <w:t xml:space="preserve"> included:</w:t>
      </w:r>
    </w:p>
    <w:p w14:paraId="0ED3518B" w14:textId="57D58D7A" w:rsidR="006A6997" w:rsidRPr="00AC256A" w:rsidRDefault="00C6495A" w:rsidP="00C6495A">
      <w:pPr>
        <w:pStyle w:val="n"/>
        <w:numPr>
          <w:ilvl w:val="0"/>
          <w:numId w:val="4"/>
        </w:numPr>
        <w:rPr>
          <w:rFonts w:asciiTheme="minorHAnsi" w:hAnsiTheme="minorHAnsi" w:cstheme="minorHAnsi"/>
          <w:sz w:val="22"/>
          <w:szCs w:val="22"/>
        </w:rPr>
      </w:pPr>
      <w:r w:rsidRPr="00AC256A">
        <w:rPr>
          <w:rFonts w:asciiTheme="minorHAnsi" w:hAnsiTheme="minorHAnsi" w:cstheme="minorHAnsi"/>
          <w:sz w:val="22"/>
          <w:szCs w:val="22"/>
        </w:rPr>
        <w:t>Procurement – we continue</w:t>
      </w:r>
      <w:r w:rsidR="00AB77BF" w:rsidRPr="00AC256A">
        <w:rPr>
          <w:rFonts w:asciiTheme="minorHAnsi" w:hAnsiTheme="minorHAnsi" w:cstheme="minorHAnsi"/>
          <w:sz w:val="22"/>
          <w:szCs w:val="22"/>
        </w:rPr>
        <w:t>d</w:t>
      </w:r>
      <w:r w:rsidRPr="00AC256A">
        <w:rPr>
          <w:rFonts w:asciiTheme="minorHAnsi" w:hAnsiTheme="minorHAnsi" w:cstheme="minorHAnsi"/>
          <w:sz w:val="22"/>
          <w:szCs w:val="22"/>
        </w:rPr>
        <w:t xml:space="preserve"> to work to identify opportunities to get best value from tendering for the supply of goods and services</w:t>
      </w:r>
      <w:r w:rsidR="00473812" w:rsidRPr="00AC256A">
        <w:rPr>
          <w:rFonts w:asciiTheme="minorHAnsi" w:hAnsiTheme="minorHAnsi" w:cstheme="minorHAnsi"/>
          <w:sz w:val="22"/>
          <w:szCs w:val="22"/>
        </w:rPr>
        <w:t xml:space="preserve"> and through good contract management</w:t>
      </w:r>
      <w:r w:rsidRPr="00AC256A">
        <w:rPr>
          <w:rFonts w:asciiTheme="minorHAnsi" w:hAnsiTheme="minorHAnsi" w:cstheme="minorHAnsi"/>
          <w:sz w:val="22"/>
          <w:szCs w:val="22"/>
        </w:rPr>
        <w:t xml:space="preserve">.  </w:t>
      </w:r>
    </w:p>
    <w:p w14:paraId="4A3F0B3C" w14:textId="09C1C74F" w:rsidR="00AC256A" w:rsidRPr="00E23CC9" w:rsidRDefault="00AC256A" w:rsidP="00AC256A">
      <w:pPr>
        <w:pStyle w:val="n"/>
        <w:numPr>
          <w:ilvl w:val="1"/>
          <w:numId w:val="4"/>
        </w:numPr>
        <w:rPr>
          <w:rFonts w:asciiTheme="minorHAnsi" w:hAnsiTheme="minorHAnsi"/>
          <w:sz w:val="22"/>
          <w:szCs w:val="22"/>
        </w:rPr>
      </w:pPr>
      <w:r w:rsidRPr="00E23CC9">
        <w:rPr>
          <w:rFonts w:asciiTheme="minorHAnsi" w:hAnsiTheme="minorHAnsi"/>
          <w:sz w:val="22"/>
          <w:szCs w:val="22"/>
        </w:rPr>
        <w:t xml:space="preserve">Where a requirement can be met and value for money achieved </w:t>
      </w:r>
      <w:proofErr w:type="gramStart"/>
      <w:r w:rsidRPr="00E23CC9">
        <w:rPr>
          <w:rFonts w:asciiTheme="minorHAnsi" w:hAnsiTheme="minorHAnsi"/>
          <w:sz w:val="22"/>
          <w:szCs w:val="22"/>
        </w:rPr>
        <w:t>through the use of</w:t>
      </w:r>
      <w:proofErr w:type="gramEnd"/>
      <w:r w:rsidRPr="00E23CC9">
        <w:rPr>
          <w:rFonts w:asciiTheme="minorHAnsi" w:hAnsiTheme="minorHAnsi"/>
          <w:sz w:val="22"/>
          <w:szCs w:val="22"/>
        </w:rPr>
        <w:t xml:space="preserve"> an existing contract put in place b</w:t>
      </w:r>
      <w:r w:rsidR="009235D7" w:rsidRPr="00E23CC9">
        <w:rPr>
          <w:rFonts w:asciiTheme="minorHAnsi" w:hAnsiTheme="minorHAnsi"/>
          <w:sz w:val="22"/>
          <w:szCs w:val="22"/>
        </w:rPr>
        <w:t>y</w:t>
      </w:r>
      <w:r w:rsidRPr="00E23CC9">
        <w:rPr>
          <w:rFonts w:asciiTheme="minorHAnsi" w:hAnsiTheme="minorHAnsi"/>
          <w:sz w:val="22"/>
          <w:szCs w:val="22"/>
        </w:rPr>
        <w:t xml:space="preserve"> the Scottish Procurement and Commercial Directorate or another collaborative procurement agency such as Crown Commercial Service,</w:t>
      </w:r>
      <w:r w:rsidR="0081327D" w:rsidRPr="00E23CC9">
        <w:rPr>
          <w:rFonts w:asciiTheme="minorHAnsi" w:hAnsiTheme="minorHAnsi"/>
          <w:sz w:val="22"/>
          <w:szCs w:val="22"/>
        </w:rPr>
        <w:t xml:space="preserve"> </w:t>
      </w:r>
      <w:r w:rsidRPr="00E23CC9">
        <w:rPr>
          <w:rFonts w:asciiTheme="minorHAnsi" w:hAnsiTheme="minorHAnsi"/>
          <w:b/>
          <w:bCs/>
          <w:sz w:val="22"/>
          <w:szCs w:val="22"/>
        </w:rPr>
        <w:t>sport</w:t>
      </w:r>
      <w:r w:rsidRPr="00E23CC9">
        <w:rPr>
          <w:rFonts w:asciiTheme="minorHAnsi" w:hAnsiTheme="minorHAnsi"/>
          <w:sz w:val="22"/>
          <w:szCs w:val="22"/>
        </w:rPr>
        <w:t>scotland’s policy is to utilise these contracts.</w:t>
      </w:r>
    </w:p>
    <w:p w14:paraId="5B1A08DC" w14:textId="28595477" w:rsidR="00AC256A" w:rsidRPr="00E23CC9" w:rsidRDefault="00AC256A" w:rsidP="00AC256A">
      <w:pPr>
        <w:pStyle w:val="n"/>
        <w:numPr>
          <w:ilvl w:val="1"/>
          <w:numId w:val="4"/>
        </w:numPr>
        <w:rPr>
          <w:rFonts w:asciiTheme="minorHAnsi" w:hAnsiTheme="minorHAnsi"/>
          <w:sz w:val="22"/>
          <w:szCs w:val="22"/>
        </w:rPr>
      </w:pPr>
      <w:r w:rsidRPr="00E23CC9">
        <w:rPr>
          <w:rFonts w:asciiTheme="minorHAnsi" w:hAnsiTheme="minorHAnsi"/>
          <w:sz w:val="22"/>
          <w:szCs w:val="22"/>
        </w:rPr>
        <w:t xml:space="preserve">During the period, </w:t>
      </w:r>
      <w:r w:rsidRPr="00E23CC9">
        <w:rPr>
          <w:rFonts w:asciiTheme="minorHAnsi" w:hAnsiTheme="minorHAnsi"/>
          <w:b/>
          <w:bCs/>
          <w:sz w:val="22"/>
          <w:szCs w:val="22"/>
        </w:rPr>
        <w:t>sport</w:t>
      </w:r>
      <w:r w:rsidRPr="00E23CC9">
        <w:rPr>
          <w:rFonts w:asciiTheme="minorHAnsi" w:hAnsiTheme="minorHAnsi"/>
          <w:sz w:val="22"/>
          <w:szCs w:val="22"/>
        </w:rPr>
        <w:t>scotland spent £</w:t>
      </w:r>
      <w:r w:rsidR="00CC7807" w:rsidRPr="00E23CC9">
        <w:rPr>
          <w:rFonts w:asciiTheme="minorHAnsi" w:hAnsiTheme="minorHAnsi"/>
          <w:sz w:val="22"/>
          <w:szCs w:val="22"/>
        </w:rPr>
        <w:t>86</w:t>
      </w:r>
      <w:r w:rsidR="007E300B">
        <w:rPr>
          <w:rFonts w:asciiTheme="minorHAnsi" w:hAnsiTheme="minorHAnsi"/>
          <w:sz w:val="22"/>
          <w:szCs w:val="22"/>
        </w:rPr>
        <w:t>1</w:t>
      </w:r>
      <w:r w:rsidR="00CC7807" w:rsidRPr="00E23CC9">
        <w:rPr>
          <w:rFonts w:asciiTheme="minorHAnsi" w:hAnsiTheme="minorHAnsi"/>
          <w:sz w:val="22"/>
          <w:szCs w:val="22"/>
        </w:rPr>
        <w:t>,690</w:t>
      </w:r>
      <w:r w:rsidRPr="00E23CC9">
        <w:rPr>
          <w:rFonts w:asciiTheme="minorHAnsi" w:hAnsiTheme="minorHAnsi"/>
          <w:sz w:val="22"/>
          <w:szCs w:val="22"/>
        </w:rPr>
        <w:t xml:space="preserve"> through </w:t>
      </w:r>
      <w:r w:rsidR="00CC7807" w:rsidRPr="00E23CC9">
        <w:rPr>
          <w:rFonts w:asciiTheme="minorHAnsi" w:hAnsiTheme="minorHAnsi"/>
          <w:sz w:val="22"/>
          <w:szCs w:val="22"/>
        </w:rPr>
        <w:t xml:space="preserve">twenty </w:t>
      </w:r>
      <w:r w:rsidRPr="00E23CC9">
        <w:rPr>
          <w:rFonts w:asciiTheme="minorHAnsi" w:hAnsiTheme="minorHAnsi"/>
          <w:sz w:val="22"/>
          <w:szCs w:val="22"/>
        </w:rPr>
        <w:t>Scottish Government Frameworks, resulting in savings of £</w:t>
      </w:r>
      <w:r w:rsidR="009D53EA" w:rsidRPr="00E23CC9">
        <w:rPr>
          <w:rFonts w:asciiTheme="minorHAnsi" w:hAnsiTheme="minorHAnsi"/>
          <w:sz w:val="22"/>
          <w:szCs w:val="22"/>
        </w:rPr>
        <w:t>276,629</w:t>
      </w:r>
      <w:r w:rsidRPr="00E23CC9">
        <w:rPr>
          <w:rFonts w:asciiTheme="minorHAnsi" w:hAnsiTheme="minorHAnsi"/>
          <w:sz w:val="22"/>
          <w:szCs w:val="22"/>
        </w:rPr>
        <w:t xml:space="preserve">. </w:t>
      </w:r>
    </w:p>
    <w:p w14:paraId="02FBB3AD" w14:textId="39BBB3A8" w:rsidR="00AC256A" w:rsidRPr="00E23CC9" w:rsidRDefault="00AC256A" w:rsidP="00AC256A">
      <w:pPr>
        <w:pStyle w:val="n"/>
        <w:numPr>
          <w:ilvl w:val="1"/>
          <w:numId w:val="4"/>
        </w:numPr>
        <w:rPr>
          <w:rFonts w:asciiTheme="minorHAnsi" w:hAnsiTheme="minorHAnsi"/>
          <w:sz w:val="22"/>
          <w:szCs w:val="22"/>
        </w:rPr>
      </w:pPr>
      <w:r w:rsidRPr="00E23CC9">
        <w:rPr>
          <w:rFonts w:asciiTheme="minorHAnsi" w:hAnsiTheme="minorHAnsi"/>
          <w:b/>
          <w:bCs/>
          <w:sz w:val="22"/>
          <w:szCs w:val="22"/>
        </w:rPr>
        <w:t>sport</w:t>
      </w:r>
      <w:r w:rsidRPr="00E23CC9">
        <w:rPr>
          <w:rFonts w:asciiTheme="minorHAnsi" w:hAnsiTheme="minorHAnsi"/>
          <w:sz w:val="22"/>
          <w:szCs w:val="22"/>
        </w:rPr>
        <w:t xml:space="preserve">scotland also had </w:t>
      </w:r>
      <w:proofErr w:type="spellStart"/>
      <w:r w:rsidRPr="00E23CC9">
        <w:rPr>
          <w:rFonts w:asciiTheme="minorHAnsi" w:hAnsiTheme="minorHAnsi"/>
          <w:sz w:val="22"/>
          <w:szCs w:val="22"/>
        </w:rPr>
        <w:t>spend</w:t>
      </w:r>
      <w:proofErr w:type="spellEnd"/>
      <w:r w:rsidRPr="00E23CC9">
        <w:rPr>
          <w:rFonts w:asciiTheme="minorHAnsi" w:hAnsiTheme="minorHAnsi"/>
          <w:sz w:val="22"/>
          <w:szCs w:val="22"/>
        </w:rPr>
        <w:t xml:space="preserve"> of £</w:t>
      </w:r>
      <w:r w:rsidR="009D53EA" w:rsidRPr="00E23CC9">
        <w:rPr>
          <w:rFonts w:asciiTheme="minorHAnsi" w:hAnsiTheme="minorHAnsi"/>
          <w:sz w:val="22"/>
          <w:szCs w:val="22"/>
        </w:rPr>
        <w:t>1,096,404</w:t>
      </w:r>
      <w:r w:rsidRPr="00E23CC9">
        <w:rPr>
          <w:rFonts w:asciiTheme="minorHAnsi" w:hAnsiTheme="minorHAnsi"/>
          <w:sz w:val="22"/>
          <w:szCs w:val="22"/>
        </w:rPr>
        <w:t xml:space="preserve"> with Crown Commercial Service Frameworks.  Where available savings realised through these frameworks are included in </w:t>
      </w:r>
      <w:r w:rsidRPr="00E23CC9">
        <w:rPr>
          <w:rFonts w:asciiTheme="minorHAnsi" w:hAnsiTheme="minorHAnsi"/>
          <w:b/>
          <w:bCs/>
          <w:sz w:val="22"/>
          <w:szCs w:val="22"/>
        </w:rPr>
        <w:t>sport</w:t>
      </w:r>
      <w:r w:rsidRPr="00E23CC9">
        <w:rPr>
          <w:rFonts w:asciiTheme="minorHAnsi" w:hAnsiTheme="minorHAnsi"/>
          <w:sz w:val="22"/>
          <w:szCs w:val="22"/>
        </w:rPr>
        <w:t>scotland savings figures.</w:t>
      </w:r>
    </w:p>
    <w:p w14:paraId="4DF8B4FB" w14:textId="2940D3C2" w:rsidR="00AC256A" w:rsidRPr="00E23CC9" w:rsidRDefault="00AC256A" w:rsidP="00AC256A">
      <w:pPr>
        <w:pStyle w:val="n"/>
        <w:numPr>
          <w:ilvl w:val="1"/>
          <w:numId w:val="4"/>
        </w:numPr>
        <w:rPr>
          <w:rFonts w:asciiTheme="minorHAnsi" w:hAnsiTheme="minorHAnsi"/>
          <w:sz w:val="22"/>
          <w:szCs w:val="22"/>
        </w:rPr>
      </w:pPr>
      <w:r w:rsidRPr="00E23CC9">
        <w:rPr>
          <w:rFonts w:asciiTheme="minorHAnsi" w:hAnsiTheme="minorHAnsi"/>
          <w:sz w:val="22"/>
          <w:szCs w:val="22"/>
        </w:rPr>
        <w:t>In addition, savings of £</w:t>
      </w:r>
      <w:r w:rsidR="00D73E2F" w:rsidRPr="00E23CC9">
        <w:rPr>
          <w:rFonts w:asciiTheme="minorHAnsi" w:hAnsiTheme="minorHAnsi"/>
          <w:sz w:val="22"/>
          <w:szCs w:val="22"/>
        </w:rPr>
        <w:t>640</w:t>
      </w:r>
      <w:r w:rsidR="00AA25B6" w:rsidRPr="00E23CC9">
        <w:rPr>
          <w:rFonts w:asciiTheme="minorHAnsi" w:hAnsiTheme="minorHAnsi"/>
          <w:sz w:val="22"/>
          <w:szCs w:val="22"/>
        </w:rPr>
        <w:t>,</w:t>
      </w:r>
      <w:r w:rsidR="00D73E2F" w:rsidRPr="00E23CC9">
        <w:rPr>
          <w:rFonts w:asciiTheme="minorHAnsi" w:hAnsiTheme="minorHAnsi"/>
          <w:sz w:val="22"/>
          <w:szCs w:val="22"/>
        </w:rPr>
        <w:t>061</w:t>
      </w:r>
      <w:r w:rsidRPr="00E23CC9">
        <w:rPr>
          <w:rFonts w:asciiTheme="minorHAnsi" w:hAnsiTheme="minorHAnsi"/>
          <w:sz w:val="22"/>
          <w:szCs w:val="22"/>
        </w:rPr>
        <w:t xml:space="preserve"> were realised through locally procured category C contracts</w:t>
      </w:r>
      <w:r w:rsidR="001604A4" w:rsidRPr="00E23CC9">
        <w:rPr>
          <w:rFonts w:asciiTheme="minorHAnsi" w:hAnsiTheme="minorHAnsi"/>
          <w:sz w:val="22"/>
          <w:szCs w:val="22"/>
        </w:rPr>
        <w:t>.</w:t>
      </w:r>
    </w:p>
    <w:p w14:paraId="16614CFA" w14:textId="69326926" w:rsidR="006A6997" w:rsidRDefault="006A6997" w:rsidP="00C6495A">
      <w:pPr>
        <w:pStyle w:val="n"/>
        <w:numPr>
          <w:ilvl w:val="0"/>
          <w:numId w:val="4"/>
        </w:numPr>
        <w:rPr>
          <w:rFonts w:asciiTheme="minorHAnsi" w:hAnsiTheme="minorHAnsi"/>
          <w:sz w:val="22"/>
          <w:szCs w:val="22"/>
        </w:rPr>
      </w:pPr>
      <w:r>
        <w:rPr>
          <w:rFonts w:asciiTheme="minorHAnsi" w:hAnsiTheme="minorHAnsi"/>
          <w:sz w:val="22"/>
          <w:szCs w:val="22"/>
        </w:rPr>
        <w:t xml:space="preserve">Estate – we regularly review </w:t>
      </w:r>
      <w:r w:rsidR="00650441">
        <w:rPr>
          <w:rFonts w:asciiTheme="minorHAnsi" w:hAnsiTheme="minorHAnsi"/>
          <w:sz w:val="22"/>
          <w:szCs w:val="22"/>
        </w:rPr>
        <w:t>the</w:t>
      </w:r>
      <w:r>
        <w:rPr>
          <w:rFonts w:asciiTheme="minorHAnsi" w:hAnsiTheme="minorHAnsi"/>
          <w:sz w:val="22"/>
          <w:szCs w:val="22"/>
        </w:rPr>
        <w:t xml:space="preserve"> requirement</w:t>
      </w:r>
      <w:r w:rsidR="00650441">
        <w:rPr>
          <w:rFonts w:asciiTheme="minorHAnsi" w:hAnsiTheme="minorHAnsi"/>
          <w:sz w:val="22"/>
          <w:szCs w:val="22"/>
        </w:rPr>
        <w:t>s of our estate</w:t>
      </w:r>
      <w:r>
        <w:rPr>
          <w:rFonts w:asciiTheme="minorHAnsi" w:hAnsiTheme="minorHAnsi"/>
          <w:sz w:val="22"/>
          <w:szCs w:val="22"/>
        </w:rPr>
        <w:t xml:space="preserve"> to minimise costs and maximise revenue where possible, including:</w:t>
      </w:r>
    </w:p>
    <w:p w14:paraId="1F682D3E" w14:textId="3285F036" w:rsidR="006A6997" w:rsidRPr="002B5C5A" w:rsidRDefault="009D4287" w:rsidP="006A6997">
      <w:pPr>
        <w:pStyle w:val="n"/>
        <w:numPr>
          <w:ilvl w:val="1"/>
          <w:numId w:val="4"/>
        </w:numPr>
        <w:rPr>
          <w:rFonts w:asciiTheme="minorHAnsi" w:hAnsiTheme="minorHAnsi"/>
          <w:sz w:val="22"/>
          <w:szCs w:val="22"/>
        </w:rPr>
      </w:pPr>
      <w:r w:rsidRPr="002B5C5A">
        <w:rPr>
          <w:rFonts w:asciiTheme="minorHAnsi" w:hAnsiTheme="minorHAnsi"/>
          <w:sz w:val="22"/>
          <w:szCs w:val="22"/>
        </w:rPr>
        <w:t>Active maintenance of our t</w:t>
      </w:r>
      <w:r w:rsidR="00AC256A">
        <w:rPr>
          <w:rFonts w:asciiTheme="minorHAnsi" w:hAnsiTheme="minorHAnsi"/>
          <w:sz w:val="22"/>
          <w:szCs w:val="22"/>
        </w:rPr>
        <w:t>wo</w:t>
      </w:r>
      <w:r w:rsidRPr="002B5C5A">
        <w:rPr>
          <w:rFonts w:asciiTheme="minorHAnsi" w:hAnsiTheme="minorHAnsi"/>
          <w:sz w:val="22"/>
          <w:szCs w:val="22"/>
        </w:rPr>
        <w:t xml:space="preserve"> national centres to ensure that they are maintained in </w:t>
      </w:r>
      <w:r w:rsidR="002B5C5A" w:rsidRPr="002B5C5A">
        <w:rPr>
          <w:rFonts w:asciiTheme="minorHAnsi" w:hAnsiTheme="minorHAnsi"/>
          <w:sz w:val="22"/>
          <w:szCs w:val="22"/>
        </w:rPr>
        <w:t>appropriate</w:t>
      </w:r>
      <w:r w:rsidRPr="002B5C5A">
        <w:rPr>
          <w:rFonts w:asciiTheme="minorHAnsi" w:hAnsiTheme="minorHAnsi"/>
          <w:sz w:val="22"/>
          <w:szCs w:val="22"/>
        </w:rPr>
        <w:t xml:space="preserve"> condition</w:t>
      </w:r>
      <w:r w:rsidR="002B5C5A" w:rsidRPr="002B5C5A">
        <w:rPr>
          <w:rFonts w:asciiTheme="minorHAnsi" w:hAnsiTheme="minorHAnsi"/>
          <w:sz w:val="22"/>
          <w:szCs w:val="22"/>
        </w:rPr>
        <w:t xml:space="preserve"> to optimise revenue generating </w:t>
      </w:r>
      <w:proofErr w:type="gramStart"/>
      <w:r w:rsidR="002B5C5A" w:rsidRPr="002B5C5A">
        <w:rPr>
          <w:rFonts w:asciiTheme="minorHAnsi" w:hAnsiTheme="minorHAnsi"/>
          <w:sz w:val="22"/>
          <w:szCs w:val="22"/>
        </w:rPr>
        <w:t>opportunities</w:t>
      </w:r>
      <w:r w:rsidR="00AB77BF">
        <w:rPr>
          <w:rFonts w:asciiTheme="minorHAnsi" w:hAnsiTheme="minorHAnsi"/>
          <w:sz w:val="22"/>
          <w:szCs w:val="22"/>
        </w:rPr>
        <w:t>;</w:t>
      </w:r>
      <w:proofErr w:type="gramEnd"/>
    </w:p>
    <w:p w14:paraId="6AF353EC" w14:textId="3662F0AF" w:rsidR="006A6997" w:rsidRPr="002B5C5A" w:rsidRDefault="006A6997" w:rsidP="006A6997">
      <w:pPr>
        <w:pStyle w:val="n"/>
        <w:numPr>
          <w:ilvl w:val="1"/>
          <w:numId w:val="4"/>
        </w:numPr>
        <w:rPr>
          <w:rFonts w:asciiTheme="minorHAnsi" w:hAnsiTheme="minorHAnsi"/>
          <w:sz w:val="22"/>
          <w:szCs w:val="22"/>
        </w:rPr>
      </w:pPr>
      <w:r w:rsidRPr="002B5C5A">
        <w:rPr>
          <w:rFonts w:asciiTheme="minorHAnsi" w:hAnsiTheme="minorHAnsi"/>
          <w:sz w:val="22"/>
          <w:szCs w:val="22"/>
        </w:rPr>
        <w:t>Review of existing regional offices to identify opportunities to co</w:t>
      </w:r>
      <w:r w:rsidR="009D4287" w:rsidRPr="002B5C5A">
        <w:rPr>
          <w:rFonts w:asciiTheme="minorHAnsi" w:hAnsiTheme="minorHAnsi"/>
          <w:sz w:val="22"/>
          <w:szCs w:val="22"/>
        </w:rPr>
        <w:t>-</w:t>
      </w:r>
      <w:r w:rsidRPr="002B5C5A">
        <w:rPr>
          <w:rFonts w:asciiTheme="minorHAnsi" w:hAnsiTheme="minorHAnsi"/>
          <w:sz w:val="22"/>
          <w:szCs w:val="22"/>
        </w:rPr>
        <w:t>locate with partners</w:t>
      </w:r>
      <w:r w:rsidR="00AB77BF">
        <w:rPr>
          <w:rFonts w:asciiTheme="minorHAnsi" w:hAnsiTheme="minorHAnsi"/>
          <w:sz w:val="22"/>
          <w:szCs w:val="22"/>
        </w:rPr>
        <w:t>; and</w:t>
      </w:r>
    </w:p>
    <w:p w14:paraId="70F39121" w14:textId="689BF14D" w:rsidR="00C6495A" w:rsidRPr="002B5C5A" w:rsidRDefault="006A6997" w:rsidP="00806012">
      <w:pPr>
        <w:pStyle w:val="n"/>
        <w:numPr>
          <w:ilvl w:val="1"/>
          <w:numId w:val="4"/>
        </w:numPr>
        <w:rPr>
          <w:rFonts w:asciiTheme="minorHAnsi" w:hAnsiTheme="minorHAnsi"/>
          <w:sz w:val="22"/>
          <w:szCs w:val="22"/>
        </w:rPr>
      </w:pPr>
      <w:r w:rsidRPr="002B5C5A">
        <w:rPr>
          <w:rFonts w:asciiTheme="minorHAnsi" w:hAnsiTheme="minorHAnsi"/>
          <w:sz w:val="22"/>
          <w:szCs w:val="22"/>
        </w:rPr>
        <w:t>Continu</w:t>
      </w:r>
      <w:r w:rsidR="00AB77BF">
        <w:rPr>
          <w:rFonts w:asciiTheme="minorHAnsi" w:hAnsiTheme="minorHAnsi"/>
          <w:sz w:val="22"/>
          <w:szCs w:val="22"/>
        </w:rPr>
        <w:t>e</w:t>
      </w:r>
      <w:r w:rsidRPr="002B5C5A">
        <w:rPr>
          <w:rFonts w:asciiTheme="minorHAnsi" w:hAnsiTheme="minorHAnsi"/>
          <w:sz w:val="22"/>
          <w:szCs w:val="22"/>
        </w:rPr>
        <w:t xml:space="preserve"> to sublet excess space in </w:t>
      </w:r>
      <w:r w:rsidR="00AB77BF">
        <w:rPr>
          <w:rFonts w:asciiTheme="minorHAnsi" w:hAnsiTheme="minorHAnsi"/>
          <w:sz w:val="22"/>
          <w:szCs w:val="22"/>
        </w:rPr>
        <w:t xml:space="preserve">the </w:t>
      </w:r>
      <w:r w:rsidRPr="002B5C5A">
        <w:rPr>
          <w:rFonts w:asciiTheme="minorHAnsi" w:hAnsiTheme="minorHAnsi"/>
          <w:sz w:val="22"/>
          <w:szCs w:val="22"/>
        </w:rPr>
        <w:t>House of Sport at Caledonia House, Edinburgh to S</w:t>
      </w:r>
      <w:r w:rsidR="00AB77BF">
        <w:rPr>
          <w:rFonts w:asciiTheme="minorHAnsi" w:hAnsiTheme="minorHAnsi"/>
          <w:sz w:val="22"/>
          <w:szCs w:val="22"/>
        </w:rPr>
        <w:t>GBs and other sports related bodies.</w:t>
      </w:r>
    </w:p>
    <w:sectPr w:rsidR="00C6495A" w:rsidRPr="002B5C5A" w:rsidSect="00650441">
      <w:footerReference w:type="default" r:id="rId15"/>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4FA5" w14:textId="77777777" w:rsidR="00B81776" w:rsidRDefault="00B81776" w:rsidP="005B4C21">
      <w:pPr>
        <w:spacing w:after="0" w:line="240" w:lineRule="auto"/>
      </w:pPr>
      <w:r>
        <w:separator/>
      </w:r>
    </w:p>
  </w:endnote>
  <w:endnote w:type="continuationSeparator" w:id="0">
    <w:p w14:paraId="084825B5" w14:textId="77777777" w:rsidR="00B81776" w:rsidRDefault="00B81776" w:rsidP="005B4C21">
      <w:pPr>
        <w:spacing w:after="0" w:line="240" w:lineRule="auto"/>
      </w:pPr>
      <w:r>
        <w:continuationSeparator/>
      </w:r>
    </w:p>
  </w:endnote>
  <w:endnote w:type="continuationNotice" w:id="1">
    <w:p w14:paraId="43D1FAB4" w14:textId="77777777" w:rsidR="00B81776" w:rsidRDefault="00B81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08592"/>
      <w:docPartObj>
        <w:docPartGallery w:val="Page Numbers (Bottom of Page)"/>
        <w:docPartUnique/>
      </w:docPartObj>
    </w:sdtPr>
    <w:sdtEndPr>
      <w:rPr>
        <w:noProof/>
      </w:rPr>
    </w:sdtEndPr>
    <w:sdtContent>
      <w:p w14:paraId="363B3692" w14:textId="3444DB97" w:rsidR="008C610E" w:rsidRDefault="008C6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8841E" w14:textId="77777777" w:rsidR="008C610E" w:rsidRDefault="008C610E">
    <w:pPr>
      <w:pStyle w:val="Footer"/>
    </w:pPr>
  </w:p>
  <w:p w14:paraId="73C2147C" w14:textId="77777777" w:rsidR="0050065E" w:rsidRDefault="00500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F031" w14:textId="77777777" w:rsidR="00B81776" w:rsidRDefault="00B81776" w:rsidP="005B4C21">
      <w:pPr>
        <w:spacing w:after="0" w:line="240" w:lineRule="auto"/>
      </w:pPr>
      <w:r>
        <w:separator/>
      </w:r>
    </w:p>
  </w:footnote>
  <w:footnote w:type="continuationSeparator" w:id="0">
    <w:p w14:paraId="641B61FD" w14:textId="77777777" w:rsidR="00B81776" w:rsidRDefault="00B81776" w:rsidP="005B4C21">
      <w:pPr>
        <w:spacing w:after="0" w:line="240" w:lineRule="auto"/>
      </w:pPr>
      <w:r>
        <w:continuationSeparator/>
      </w:r>
    </w:p>
  </w:footnote>
  <w:footnote w:type="continuationNotice" w:id="1">
    <w:p w14:paraId="391AE436" w14:textId="77777777" w:rsidR="00B81776" w:rsidRDefault="00B817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6318"/>
    <w:multiLevelType w:val="hybridMultilevel"/>
    <w:tmpl w:val="BB6806BC"/>
    <w:lvl w:ilvl="0" w:tplc="08090001">
      <w:start w:val="1"/>
      <w:numFmt w:val="bullet"/>
      <w:lvlText w:val=""/>
      <w:lvlJc w:val="left"/>
      <w:pPr>
        <w:ind w:left="1683" w:hanging="360"/>
      </w:pPr>
      <w:rPr>
        <w:rFonts w:ascii="Symbol" w:hAnsi="Symbol" w:hint="default"/>
      </w:rPr>
    </w:lvl>
    <w:lvl w:ilvl="1" w:tplc="08090003">
      <w:start w:val="1"/>
      <w:numFmt w:val="bullet"/>
      <w:lvlText w:val="o"/>
      <w:lvlJc w:val="left"/>
      <w:pPr>
        <w:ind w:left="2403" w:hanging="360"/>
      </w:pPr>
      <w:rPr>
        <w:rFonts w:ascii="Courier New" w:hAnsi="Courier New" w:cs="Courier New" w:hint="default"/>
      </w:rPr>
    </w:lvl>
    <w:lvl w:ilvl="2" w:tplc="08090005">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abstractNum w:abstractNumId="1" w15:restartNumberingAfterBreak="0">
    <w:nsid w:val="31885F85"/>
    <w:multiLevelType w:val="hybridMultilevel"/>
    <w:tmpl w:val="8418F4C4"/>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15:restartNumberingAfterBreak="0">
    <w:nsid w:val="4D50396F"/>
    <w:multiLevelType w:val="hybridMultilevel"/>
    <w:tmpl w:val="4002E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0D64C4"/>
    <w:multiLevelType w:val="multilevel"/>
    <w:tmpl w:val="B95697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412ECF"/>
    <w:multiLevelType w:val="hybridMultilevel"/>
    <w:tmpl w:val="E7D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560254">
    <w:abstractNumId w:val="3"/>
  </w:num>
  <w:num w:numId="2" w16cid:durableId="1788962030">
    <w:abstractNumId w:val="4"/>
  </w:num>
  <w:num w:numId="3" w16cid:durableId="184056045">
    <w:abstractNumId w:val="2"/>
  </w:num>
  <w:num w:numId="4" w16cid:durableId="793642879">
    <w:abstractNumId w:val="1"/>
  </w:num>
  <w:num w:numId="5" w16cid:durableId="11268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51"/>
    <w:rsid w:val="00014C41"/>
    <w:rsid w:val="000248C2"/>
    <w:rsid w:val="000710AA"/>
    <w:rsid w:val="00083A16"/>
    <w:rsid w:val="000973DB"/>
    <w:rsid w:val="000E5A87"/>
    <w:rsid w:val="000F6F65"/>
    <w:rsid w:val="00107845"/>
    <w:rsid w:val="0011169F"/>
    <w:rsid w:val="00111A84"/>
    <w:rsid w:val="00124D23"/>
    <w:rsid w:val="00136DD2"/>
    <w:rsid w:val="001411FB"/>
    <w:rsid w:val="001604A4"/>
    <w:rsid w:val="001623EC"/>
    <w:rsid w:val="00180B54"/>
    <w:rsid w:val="00185144"/>
    <w:rsid w:val="0019236D"/>
    <w:rsid w:val="00196622"/>
    <w:rsid w:val="00197E4A"/>
    <w:rsid w:val="001A08BC"/>
    <w:rsid w:val="001B25AE"/>
    <w:rsid w:val="001B6318"/>
    <w:rsid w:val="001C49CE"/>
    <w:rsid w:val="001F0020"/>
    <w:rsid w:val="001F4619"/>
    <w:rsid w:val="00201058"/>
    <w:rsid w:val="00201A83"/>
    <w:rsid w:val="00204815"/>
    <w:rsid w:val="00205107"/>
    <w:rsid w:val="00213B49"/>
    <w:rsid w:val="002206E5"/>
    <w:rsid w:val="00223C30"/>
    <w:rsid w:val="0024420B"/>
    <w:rsid w:val="0025383D"/>
    <w:rsid w:val="00262C02"/>
    <w:rsid w:val="00281F2F"/>
    <w:rsid w:val="0029532D"/>
    <w:rsid w:val="002A2B97"/>
    <w:rsid w:val="002B52C9"/>
    <w:rsid w:val="002B5C5A"/>
    <w:rsid w:val="002E77CD"/>
    <w:rsid w:val="003004E9"/>
    <w:rsid w:val="00307D1B"/>
    <w:rsid w:val="00326BEC"/>
    <w:rsid w:val="003322D2"/>
    <w:rsid w:val="00337FD2"/>
    <w:rsid w:val="00381590"/>
    <w:rsid w:val="00387635"/>
    <w:rsid w:val="00395790"/>
    <w:rsid w:val="003B0B53"/>
    <w:rsid w:val="003B0D84"/>
    <w:rsid w:val="003D0AA5"/>
    <w:rsid w:val="003E0926"/>
    <w:rsid w:val="003E3F4F"/>
    <w:rsid w:val="003E6A59"/>
    <w:rsid w:val="003F1246"/>
    <w:rsid w:val="00473812"/>
    <w:rsid w:val="0048011E"/>
    <w:rsid w:val="00483D9D"/>
    <w:rsid w:val="00494D6F"/>
    <w:rsid w:val="004C05A1"/>
    <w:rsid w:val="004C39F3"/>
    <w:rsid w:val="004D2048"/>
    <w:rsid w:val="004F42EE"/>
    <w:rsid w:val="0050065E"/>
    <w:rsid w:val="00524D16"/>
    <w:rsid w:val="0055039D"/>
    <w:rsid w:val="00554BFE"/>
    <w:rsid w:val="00564650"/>
    <w:rsid w:val="00573AA0"/>
    <w:rsid w:val="0057493F"/>
    <w:rsid w:val="005B1DFF"/>
    <w:rsid w:val="005B4C21"/>
    <w:rsid w:val="00613576"/>
    <w:rsid w:val="006202C7"/>
    <w:rsid w:val="00634A68"/>
    <w:rsid w:val="006405F3"/>
    <w:rsid w:val="00645D6F"/>
    <w:rsid w:val="00650441"/>
    <w:rsid w:val="006510B2"/>
    <w:rsid w:val="00661776"/>
    <w:rsid w:val="006630F4"/>
    <w:rsid w:val="006A6997"/>
    <w:rsid w:val="006C65BA"/>
    <w:rsid w:val="006D0C2E"/>
    <w:rsid w:val="006D3AC8"/>
    <w:rsid w:val="006E3131"/>
    <w:rsid w:val="007004C9"/>
    <w:rsid w:val="0070559D"/>
    <w:rsid w:val="00722E8C"/>
    <w:rsid w:val="007303D9"/>
    <w:rsid w:val="007329DE"/>
    <w:rsid w:val="00743586"/>
    <w:rsid w:val="00754A16"/>
    <w:rsid w:val="00760E1F"/>
    <w:rsid w:val="007726CE"/>
    <w:rsid w:val="00774101"/>
    <w:rsid w:val="00774A9D"/>
    <w:rsid w:val="00775E86"/>
    <w:rsid w:val="00796D00"/>
    <w:rsid w:val="007C716C"/>
    <w:rsid w:val="007D6E64"/>
    <w:rsid w:val="007E300B"/>
    <w:rsid w:val="007F6514"/>
    <w:rsid w:val="00804B75"/>
    <w:rsid w:val="00806012"/>
    <w:rsid w:val="0081327D"/>
    <w:rsid w:val="00823389"/>
    <w:rsid w:val="00852B6B"/>
    <w:rsid w:val="00863EF9"/>
    <w:rsid w:val="00864A23"/>
    <w:rsid w:val="00875AC6"/>
    <w:rsid w:val="00885980"/>
    <w:rsid w:val="008A0B98"/>
    <w:rsid w:val="008C610E"/>
    <w:rsid w:val="008E4238"/>
    <w:rsid w:val="0091241D"/>
    <w:rsid w:val="009235D7"/>
    <w:rsid w:val="00926CA2"/>
    <w:rsid w:val="00934FE8"/>
    <w:rsid w:val="009405C4"/>
    <w:rsid w:val="009414AE"/>
    <w:rsid w:val="0094564C"/>
    <w:rsid w:val="0095120B"/>
    <w:rsid w:val="00956984"/>
    <w:rsid w:val="0097446C"/>
    <w:rsid w:val="00975990"/>
    <w:rsid w:val="00981C57"/>
    <w:rsid w:val="00992D18"/>
    <w:rsid w:val="009A0461"/>
    <w:rsid w:val="009B2DCE"/>
    <w:rsid w:val="009C570A"/>
    <w:rsid w:val="009D4287"/>
    <w:rsid w:val="009D53EA"/>
    <w:rsid w:val="009D7CD8"/>
    <w:rsid w:val="009F7B5D"/>
    <w:rsid w:val="00A331E5"/>
    <w:rsid w:val="00A56559"/>
    <w:rsid w:val="00A70913"/>
    <w:rsid w:val="00AA25B6"/>
    <w:rsid w:val="00AB77BF"/>
    <w:rsid w:val="00AC256A"/>
    <w:rsid w:val="00B045A5"/>
    <w:rsid w:val="00B0516D"/>
    <w:rsid w:val="00B06348"/>
    <w:rsid w:val="00B2555C"/>
    <w:rsid w:val="00B455B0"/>
    <w:rsid w:val="00B46BE4"/>
    <w:rsid w:val="00B47C78"/>
    <w:rsid w:val="00B53385"/>
    <w:rsid w:val="00B73569"/>
    <w:rsid w:val="00B81776"/>
    <w:rsid w:val="00BA29BB"/>
    <w:rsid w:val="00BA4977"/>
    <w:rsid w:val="00BD6171"/>
    <w:rsid w:val="00BD67C3"/>
    <w:rsid w:val="00BE1D91"/>
    <w:rsid w:val="00BF0C29"/>
    <w:rsid w:val="00BF4BFD"/>
    <w:rsid w:val="00C031D9"/>
    <w:rsid w:val="00C03207"/>
    <w:rsid w:val="00C33434"/>
    <w:rsid w:val="00C36018"/>
    <w:rsid w:val="00C6495A"/>
    <w:rsid w:val="00C67217"/>
    <w:rsid w:val="00C72FDE"/>
    <w:rsid w:val="00C73AAE"/>
    <w:rsid w:val="00C74BCE"/>
    <w:rsid w:val="00C90E42"/>
    <w:rsid w:val="00CA36A2"/>
    <w:rsid w:val="00CB3177"/>
    <w:rsid w:val="00CB4BA8"/>
    <w:rsid w:val="00CC7807"/>
    <w:rsid w:val="00CD457C"/>
    <w:rsid w:val="00CE05BD"/>
    <w:rsid w:val="00CF5494"/>
    <w:rsid w:val="00CF73C5"/>
    <w:rsid w:val="00D233BA"/>
    <w:rsid w:val="00D5212B"/>
    <w:rsid w:val="00D6604A"/>
    <w:rsid w:val="00D72790"/>
    <w:rsid w:val="00D73E2F"/>
    <w:rsid w:val="00D76A61"/>
    <w:rsid w:val="00D80166"/>
    <w:rsid w:val="00D9241E"/>
    <w:rsid w:val="00D96658"/>
    <w:rsid w:val="00DA680F"/>
    <w:rsid w:val="00DB2525"/>
    <w:rsid w:val="00DB45CA"/>
    <w:rsid w:val="00DE1A84"/>
    <w:rsid w:val="00E221CD"/>
    <w:rsid w:val="00E22B8F"/>
    <w:rsid w:val="00E23CC9"/>
    <w:rsid w:val="00E36C7E"/>
    <w:rsid w:val="00E371CA"/>
    <w:rsid w:val="00E623D7"/>
    <w:rsid w:val="00E67083"/>
    <w:rsid w:val="00E84AC0"/>
    <w:rsid w:val="00E90651"/>
    <w:rsid w:val="00E946A5"/>
    <w:rsid w:val="00E97562"/>
    <w:rsid w:val="00ED4203"/>
    <w:rsid w:val="00EE3D5E"/>
    <w:rsid w:val="00EE70F4"/>
    <w:rsid w:val="00EF48EB"/>
    <w:rsid w:val="00F040E0"/>
    <w:rsid w:val="00F067CC"/>
    <w:rsid w:val="00F35175"/>
    <w:rsid w:val="00F429F2"/>
    <w:rsid w:val="00F469FA"/>
    <w:rsid w:val="00F5077C"/>
    <w:rsid w:val="00F84D75"/>
    <w:rsid w:val="00F85ACF"/>
    <w:rsid w:val="00F872E1"/>
    <w:rsid w:val="00FA4286"/>
    <w:rsid w:val="00FA4B6B"/>
    <w:rsid w:val="1DE45B5F"/>
    <w:rsid w:val="29F163B0"/>
    <w:rsid w:val="3D1BE5A5"/>
    <w:rsid w:val="48F06CD5"/>
    <w:rsid w:val="50A2A37C"/>
    <w:rsid w:val="5FFA3072"/>
    <w:rsid w:val="6970B36C"/>
    <w:rsid w:val="7CEFE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AE7"/>
  <w15:docId w15:val="{94FADD8F-4DE7-4E1D-8FA2-93A279B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Indent"/>
    <w:link w:val="Heading5Char"/>
    <w:qFormat/>
    <w:rsid w:val="00B455B0"/>
    <w:pPr>
      <w:overflowPunct w:val="0"/>
      <w:autoSpaceDE w:val="0"/>
      <w:autoSpaceDN w:val="0"/>
      <w:adjustRightInd w:val="0"/>
      <w:spacing w:after="0" w:line="240" w:lineRule="auto"/>
      <w:ind w:left="720"/>
      <w:textAlignment w:val="baseline"/>
      <w:outlineLvl w:val="4"/>
    </w:pPr>
    <w:rPr>
      <w:rFonts w:ascii="Arial" w:eastAsia="Times New Roman" w:hAnsi="Arial" w:cs="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51"/>
    <w:pPr>
      <w:ind w:left="720"/>
      <w:contextualSpacing/>
    </w:pPr>
  </w:style>
  <w:style w:type="table" w:styleId="TableGrid">
    <w:name w:val="Table Grid"/>
    <w:basedOn w:val="TableNormal"/>
    <w:uiPriority w:val="59"/>
    <w:rsid w:val="00E9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Normal"/>
    <w:link w:val="nChar"/>
    <w:rsid w:val="00956984"/>
    <w:pPr>
      <w:tabs>
        <w:tab w:val="num" w:pos="794"/>
        <w:tab w:val="right" w:pos="8959"/>
      </w:tabs>
      <w:overflowPunct w:val="0"/>
      <w:autoSpaceDE w:val="0"/>
      <w:autoSpaceDN w:val="0"/>
      <w:adjustRightInd w:val="0"/>
      <w:spacing w:before="240" w:after="0" w:line="240" w:lineRule="auto"/>
      <w:ind w:left="794" w:hanging="794"/>
      <w:jc w:val="both"/>
      <w:textAlignment w:val="baseline"/>
    </w:pPr>
    <w:rPr>
      <w:rFonts w:ascii="Arial" w:eastAsia="Times New Roman" w:hAnsi="Arial" w:cs="Times New Roman"/>
      <w:sz w:val="23"/>
      <w:szCs w:val="20"/>
    </w:rPr>
  </w:style>
  <w:style w:type="character" w:customStyle="1" w:styleId="nChar">
    <w:name w:val="n Char"/>
    <w:basedOn w:val="DefaultParagraphFont"/>
    <w:link w:val="n"/>
    <w:rsid w:val="00956984"/>
    <w:rPr>
      <w:rFonts w:ascii="Arial" w:eastAsia="Times New Roman" w:hAnsi="Arial" w:cs="Times New Roman"/>
      <w:sz w:val="23"/>
      <w:szCs w:val="20"/>
    </w:rPr>
  </w:style>
  <w:style w:type="paragraph" w:styleId="BalloonText">
    <w:name w:val="Balloon Text"/>
    <w:basedOn w:val="Normal"/>
    <w:link w:val="BalloonTextChar"/>
    <w:uiPriority w:val="99"/>
    <w:semiHidden/>
    <w:unhideWhenUsed/>
    <w:rsid w:val="0080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12"/>
    <w:rPr>
      <w:rFonts w:ascii="Tahoma" w:hAnsi="Tahoma" w:cs="Tahoma"/>
      <w:sz w:val="16"/>
      <w:szCs w:val="16"/>
    </w:rPr>
  </w:style>
  <w:style w:type="paragraph" w:customStyle="1" w:styleId="Intro">
    <w:name w:val="Intro"/>
    <w:basedOn w:val="Title"/>
    <w:next w:val="Normal"/>
    <w:link w:val="IntroChar"/>
    <w:uiPriority w:val="99"/>
    <w:rsid w:val="005B4C21"/>
    <w:pPr>
      <w:tabs>
        <w:tab w:val="right" w:pos="8959"/>
      </w:tabs>
      <w:overflowPunct w:val="0"/>
      <w:autoSpaceDE w:val="0"/>
      <w:autoSpaceDN w:val="0"/>
      <w:adjustRightInd w:val="0"/>
      <w:spacing w:before="960"/>
      <w:contextualSpacing w:val="0"/>
      <w:jc w:val="both"/>
      <w:textAlignment w:val="baseline"/>
    </w:pPr>
    <w:rPr>
      <w:rFonts w:ascii="Arial" w:eastAsia="Times New Roman" w:hAnsi="Arial" w:cs="Times New Roman"/>
      <w:b/>
      <w:spacing w:val="0"/>
      <w:kern w:val="0"/>
      <w:sz w:val="32"/>
      <w:szCs w:val="20"/>
    </w:rPr>
  </w:style>
  <w:style w:type="paragraph" w:customStyle="1" w:styleId="Onlyuseindocheader-doctitle">
    <w:name w:val="Only use in doc header - doc title"/>
    <w:link w:val="Onlyuseindocheader-doctitleChar"/>
    <w:qFormat/>
    <w:rsid w:val="005B4C21"/>
    <w:pPr>
      <w:spacing w:before="60" w:after="60" w:line="600" w:lineRule="exact"/>
    </w:pPr>
    <w:rPr>
      <w:rFonts w:ascii="Arial Black" w:eastAsia="Times New Roman" w:hAnsi="Arial Black" w:cs="Times New Roman"/>
      <w:spacing w:val="-20"/>
      <w:sz w:val="64"/>
      <w:szCs w:val="64"/>
      <w:lang w:val="en-US"/>
    </w:rPr>
  </w:style>
  <w:style w:type="paragraph" w:customStyle="1" w:styleId="Onlyuseindocheader-categorystyle">
    <w:name w:val="Only use in doc header - category style"/>
    <w:qFormat/>
    <w:rsid w:val="005B4C21"/>
    <w:pPr>
      <w:spacing w:after="0" w:line="240" w:lineRule="auto"/>
    </w:pPr>
    <w:rPr>
      <w:rFonts w:ascii="Arial" w:eastAsia="Times New Roman" w:hAnsi="Arial" w:cs="Times New Roman"/>
      <w:b/>
      <w:noProof/>
      <w:color w:val="FF0000"/>
      <w:lang w:eastAsia="en-GB"/>
    </w:rPr>
  </w:style>
  <w:style w:type="paragraph" w:customStyle="1" w:styleId="Onlyuseindocheader-subtitleifneeded">
    <w:name w:val="Only use in doc header  - subtitle if needed"/>
    <w:link w:val="Onlyuseindocheader-subtitleifneededChar"/>
    <w:qFormat/>
    <w:rsid w:val="005B4C21"/>
    <w:pPr>
      <w:spacing w:after="0" w:line="240" w:lineRule="auto"/>
    </w:pPr>
    <w:rPr>
      <w:rFonts w:ascii="Arial" w:eastAsia="Times New Roman" w:hAnsi="Arial" w:cs="Times New Roman"/>
      <w:b/>
      <w:sz w:val="26"/>
      <w:szCs w:val="26"/>
      <w:lang w:val="en-US"/>
    </w:rPr>
  </w:style>
  <w:style w:type="character" w:customStyle="1" w:styleId="Onlyuseindocheader-doctitleChar">
    <w:name w:val="Only use in doc header - doc title Char"/>
    <w:basedOn w:val="DefaultParagraphFont"/>
    <w:link w:val="Onlyuseindocheader-doctitle"/>
    <w:rsid w:val="005B4C21"/>
    <w:rPr>
      <w:rFonts w:ascii="Arial Black" w:eastAsia="Times New Roman" w:hAnsi="Arial Black" w:cs="Times New Roman"/>
      <w:spacing w:val="-20"/>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5B4C21"/>
    <w:rPr>
      <w:rFonts w:ascii="Arial" w:eastAsia="Times New Roman" w:hAnsi="Arial" w:cs="Times New Roman"/>
      <w:b/>
      <w:sz w:val="26"/>
      <w:szCs w:val="26"/>
      <w:lang w:val="en-US"/>
    </w:rPr>
  </w:style>
  <w:style w:type="paragraph" w:styleId="Title">
    <w:name w:val="Title"/>
    <w:basedOn w:val="Normal"/>
    <w:next w:val="Normal"/>
    <w:link w:val="TitleChar"/>
    <w:uiPriority w:val="10"/>
    <w:qFormat/>
    <w:rsid w:val="005B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C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C21"/>
  </w:style>
  <w:style w:type="paragraph" w:styleId="Footer">
    <w:name w:val="footer"/>
    <w:basedOn w:val="Normal"/>
    <w:link w:val="FooterChar"/>
    <w:uiPriority w:val="99"/>
    <w:unhideWhenUsed/>
    <w:rsid w:val="005B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C21"/>
  </w:style>
  <w:style w:type="character" w:customStyle="1" w:styleId="Heading5Char">
    <w:name w:val="Heading 5 Char"/>
    <w:basedOn w:val="DefaultParagraphFont"/>
    <w:link w:val="Heading5"/>
    <w:rsid w:val="00B455B0"/>
    <w:rPr>
      <w:rFonts w:ascii="Arial" w:eastAsia="Times New Roman" w:hAnsi="Arial" w:cs="Times New Roman"/>
      <w:b/>
      <w:sz w:val="23"/>
      <w:szCs w:val="20"/>
    </w:rPr>
  </w:style>
  <w:style w:type="paragraph" w:styleId="NormalIndent">
    <w:name w:val="Normal Indent"/>
    <w:basedOn w:val="Normal"/>
    <w:rsid w:val="00B455B0"/>
    <w:pPr>
      <w:overflowPunct w:val="0"/>
      <w:autoSpaceDE w:val="0"/>
      <w:autoSpaceDN w:val="0"/>
      <w:adjustRightInd w:val="0"/>
      <w:spacing w:after="0" w:line="240" w:lineRule="auto"/>
      <w:ind w:left="720"/>
      <w:textAlignment w:val="baseline"/>
    </w:pPr>
    <w:rPr>
      <w:rFonts w:ascii="Arial" w:eastAsia="Times New Roman" w:hAnsi="Arial" w:cs="Times New Roman"/>
      <w:sz w:val="23"/>
      <w:szCs w:val="20"/>
    </w:rPr>
  </w:style>
  <w:style w:type="character" w:customStyle="1" w:styleId="BodytextChar">
    <w:name w:val="Body text Char"/>
    <w:basedOn w:val="DefaultParagraphFont"/>
    <w:link w:val="BodyText1"/>
    <w:rsid w:val="00B455B0"/>
    <w:rPr>
      <w:rFonts w:ascii="Arial" w:hAnsi="Arial"/>
      <w:szCs w:val="24"/>
      <w:lang w:val="en-US"/>
    </w:rPr>
  </w:style>
  <w:style w:type="paragraph" w:customStyle="1" w:styleId="BodyText1">
    <w:name w:val="Body Text1"/>
    <w:link w:val="BodytextChar"/>
    <w:rsid w:val="00B455B0"/>
    <w:pPr>
      <w:spacing w:after="120" w:line="288" w:lineRule="auto"/>
    </w:pPr>
    <w:rPr>
      <w:rFonts w:ascii="Arial" w:hAnsi="Arial"/>
      <w:szCs w:val="24"/>
      <w:lang w:val="en-US"/>
    </w:rPr>
  </w:style>
  <w:style w:type="paragraph" w:customStyle="1" w:styleId="Default">
    <w:name w:val="Default"/>
    <w:rsid w:val="00573AA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rsid w:val="00864A23"/>
    <w:rPr>
      <w:position w:val="6"/>
      <w:sz w:val="16"/>
    </w:rPr>
  </w:style>
  <w:style w:type="paragraph" w:styleId="FootnoteText">
    <w:name w:val="footnote text"/>
    <w:basedOn w:val="Normal"/>
    <w:link w:val="FootnoteTextChar"/>
    <w:rsid w:val="00864A23"/>
    <w:pPr>
      <w:overflowPunct w:val="0"/>
      <w:autoSpaceDE w:val="0"/>
      <w:autoSpaceDN w:val="0"/>
      <w:adjustRightInd w:val="0"/>
      <w:spacing w:after="0" w:line="240" w:lineRule="auto"/>
      <w:textAlignment w:val="baseline"/>
    </w:pPr>
    <w:rPr>
      <w:rFonts w:ascii="Arial" w:eastAsia="Times New Roman" w:hAnsi="Arial" w:cs="Times New Roman"/>
      <w:sz w:val="23"/>
      <w:szCs w:val="20"/>
    </w:rPr>
  </w:style>
  <w:style w:type="character" w:customStyle="1" w:styleId="FootnoteTextChar">
    <w:name w:val="Footnote Text Char"/>
    <w:basedOn w:val="DefaultParagraphFont"/>
    <w:link w:val="FootnoteText"/>
    <w:rsid w:val="00864A23"/>
    <w:rPr>
      <w:rFonts w:ascii="Arial" w:eastAsia="Times New Roman" w:hAnsi="Arial" w:cs="Times New Roman"/>
      <w:sz w:val="23"/>
      <w:szCs w:val="20"/>
    </w:rPr>
  </w:style>
  <w:style w:type="character" w:styleId="Hyperlink">
    <w:name w:val="Hyperlink"/>
    <w:uiPriority w:val="99"/>
    <w:rsid w:val="00864A23"/>
    <w:rPr>
      <w:color w:val="0000FF"/>
      <w:u w:val="single"/>
    </w:rPr>
  </w:style>
  <w:style w:type="character" w:customStyle="1" w:styleId="IntroChar">
    <w:name w:val="Intro Char"/>
    <w:basedOn w:val="TitleChar"/>
    <w:link w:val="Intro"/>
    <w:uiPriority w:val="99"/>
    <w:rsid w:val="00107845"/>
    <w:rPr>
      <w:rFonts w:ascii="Arial" w:eastAsia="Times New Roman" w:hAnsi="Arial" w:cs="Times New Roman"/>
      <w:b/>
      <w:spacing w:val="-10"/>
      <w:kern w:val="28"/>
      <w:sz w:val="32"/>
      <w:szCs w:val="20"/>
    </w:rPr>
  </w:style>
  <w:style w:type="character" w:customStyle="1" w:styleId="normaltextrun">
    <w:name w:val="normaltextrun"/>
    <w:basedOn w:val="DefaultParagraphFont"/>
    <w:rsid w:val="00107845"/>
  </w:style>
  <w:style w:type="character" w:customStyle="1" w:styleId="eop">
    <w:name w:val="eop"/>
    <w:basedOn w:val="DefaultParagraphFont"/>
    <w:rsid w:val="00107845"/>
  </w:style>
  <w:style w:type="character" w:styleId="CommentReference">
    <w:name w:val="annotation reference"/>
    <w:basedOn w:val="DefaultParagraphFont"/>
    <w:uiPriority w:val="99"/>
    <w:semiHidden/>
    <w:unhideWhenUsed/>
    <w:rsid w:val="006C65BA"/>
    <w:rPr>
      <w:sz w:val="16"/>
      <w:szCs w:val="16"/>
    </w:rPr>
  </w:style>
  <w:style w:type="paragraph" w:styleId="CommentText">
    <w:name w:val="annotation text"/>
    <w:basedOn w:val="Normal"/>
    <w:link w:val="CommentTextChar"/>
    <w:uiPriority w:val="99"/>
    <w:unhideWhenUsed/>
    <w:rsid w:val="006C65BA"/>
    <w:pPr>
      <w:spacing w:line="240" w:lineRule="auto"/>
    </w:pPr>
    <w:rPr>
      <w:sz w:val="20"/>
      <w:szCs w:val="20"/>
    </w:rPr>
  </w:style>
  <w:style w:type="character" w:customStyle="1" w:styleId="CommentTextChar">
    <w:name w:val="Comment Text Char"/>
    <w:basedOn w:val="DefaultParagraphFont"/>
    <w:link w:val="CommentText"/>
    <w:uiPriority w:val="99"/>
    <w:rsid w:val="006C65BA"/>
    <w:rPr>
      <w:sz w:val="20"/>
      <w:szCs w:val="20"/>
    </w:rPr>
  </w:style>
  <w:style w:type="paragraph" w:styleId="CommentSubject">
    <w:name w:val="annotation subject"/>
    <w:basedOn w:val="CommentText"/>
    <w:next w:val="CommentText"/>
    <w:link w:val="CommentSubjectChar"/>
    <w:uiPriority w:val="99"/>
    <w:semiHidden/>
    <w:unhideWhenUsed/>
    <w:rsid w:val="006C65BA"/>
    <w:rPr>
      <w:b/>
      <w:bCs/>
    </w:rPr>
  </w:style>
  <w:style w:type="character" w:customStyle="1" w:styleId="CommentSubjectChar">
    <w:name w:val="Comment Subject Char"/>
    <w:basedOn w:val="CommentTextChar"/>
    <w:link w:val="CommentSubject"/>
    <w:uiPriority w:val="99"/>
    <w:semiHidden/>
    <w:rsid w:val="006C65BA"/>
    <w:rPr>
      <w:b/>
      <w:bCs/>
      <w:sz w:val="20"/>
      <w:szCs w:val="20"/>
    </w:rPr>
  </w:style>
  <w:style w:type="paragraph" w:styleId="Revision">
    <w:name w:val="Revision"/>
    <w:hidden/>
    <w:uiPriority w:val="99"/>
    <w:semiHidden/>
    <w:rsid w:val="000F6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tscotland.org.uk/freedom-of-information/foidocuments/public-services-reform-scotland-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6BE83503C28F42985AED1D7E6005E6" ma:contentTypeVersion="29" ma:contentTypeDescription="Create a new document." ma:contentTypeScope="" ma:versionID="659ffd1954c92a4ee635e2b7a1b50e7f">
  <xsd:schema xmlns:xsd="http://www.w3.org/2001/XMLSchema" xmlns:xs="http://www.w3.org/2001/XMLSchema" xmlns:p="http://schemas.microsoft.com/office/2006/metadata/properties" xmlns:ns2="dbb8eb13-8159-49c5-b55e-052e4280298e" xmlns:ns3="3d1832c6-e674-4727-9355-4a4275db6b33" targetNamespace="http://schemas.microsoft.com/office/2006/metadata/properties" ma:root="true" ma:fieldsID="706af4049e6c7da6e8ca118f0d721111" ns2:_="" ns3:_="">
    <xsd:import namespace="dbb8eb13-8159-49c5-b55e-052e4280298e"/>
    <xsd:import namespace="3d1832c6-e674-4727-9355-4a4275db6b33"/>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7cd2fc-db36-4ed0-80cf-462427ea13a7}"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1832c6-e674-4727-9355-4a4275db6b3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3e48ed-9728-4b07-a7f8-5fbb5785ed7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FIN0FINANCE-1479012437-4817</_dlc_DocId>
    <_dlc_DocIdUrl xmlns="dbb8eb13-8159-49c5-b55e-052e4280298e">
      <Url>https://sportscotland.sharepoint.com/sites/FIN_Finance/_layouts/15/DocIdRedir.aspx?ID=FIN0FINANCE-1479012437-4817</Url>
      <Description>FIN0FINANCE-1479012437-4817</Description>
    </_dlc_DocIdUrl>
    <SharedWithUsers xmlns="dbb8eb13-8159-49c5-b55e-052e4280298e">
      <UserInfo>
        <DisplayName>Forbes Dunlop</DisplayName>
        <AccountId>89</AccountId>
        <AccountType/>
      </UserInfo>
      <UserInfo>
        <DisplayName>Simon Taaffe</DisplayName>
        <AccountId>90</AccountId>
        <AccountType/>
      </UserInfo>
      <UserInfo>
        <DisplayName>Neville Cobb</DisplayName>
        <AccountId>32</AccountId>
        <AccountType/>
      </UserInfo>
      <UserInfo>
        <DisplayName>Rachel Barrington</DisplayName>
        <AccountId>896</AccountId>
        <AccountType/>
      </UserInfo>
    </SharedWithUsers>
    <TaxCatchAll xmlns="dbb8eb13-8159-49c5-b55e-052e4280298e" xsi:nil="true"/>
    <lcf76f155ced4ddcb4097134ff3c332f xmlns="3d1832c6-e674-4727-9355-4a4275db6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EF399A-75B6-4F78-9D6D-E2DD128EA0E4}">
  <ds:schemaRefs>
    <ds:schemaRef ds:uri="http://schemas.microsoft.com/sharepoint/events"/>
  </ds:schemaRefs>
</ds:datastoreItem>
</file>

<file path=customXml/itemProps2.xml><?xml version="1.0" encoding="utf-8"?>
<ds:datastoreItem xmlns:ds="http://schemas.openxmlformats.org/officeDocument/2006/customXml" ds:itemID="{E1AF9249-AEC1-41A4-898E-1CA7FE5E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3d1832c6-e674-4727-9355-4a4275db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D01F4-625B-4684-B765-D34837DDB078}">
  <ds:schemaRefs>
    <ds:schemaRef ds:uri="http://schemas.microsoft.com/sharepoint/v3/contenttype/forms"/>
  </ds:schemaRefs>
</ds:datastoreItem>
</file>

<file path=customXml/itemProps4.xml><?xml version="1.0" encoding="utf-8"?>
<ds:datastoreItem xmlns:ds="http://schemas.openxmlformats.org/officeDocument/2006/customXml" ds:itemID="{CB9E63DC-14E7-436E-B959-11BB655FD1FD}">
  <ds:schemaRefs>
    <ds:schemaRef ds:uri="http://schemas.openxmlformats.org/officeDocument/2006/bibliography"/>
  </ds:schemaRefs>
</ds:datastoreItem>
</file>

<file path=customXml/itemProps5.xml><?xml version="1.0" encoding="utf-8"?>
<ds:datastoreItem xmlns:ds="http://schemas.openxmlformats.org/officeDocument/2006/customXml" ds:itemID="{A7015B00-563C-458C-ABEE-19F784B66F68}">
  <ds:schemaRefs>
    <ds:schemaRef ds:uri="http://schemas.microsoft.com/office/2006/metadata/properties"/>
    <ds:schemaRef ds:uri="http://schemas.microsoft.com/office/infopath/2007/PartnerControls"/>
    <ds:schemaRef ds:uri="dbb8eb13-8159-49c5-b55e-052e4280298e"/>
    <ds:schemaRef ds:uri="3d1832c6-e674-4727-9355-4a4275db6b33"/>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2273</Words>
  <Characters>12959</Characters>
  <Application>Microsoft Office Word</Application>
  <DocSecurity>0</DocSecurity>
  <Lines>107</Lines>
  <Paragraphs>30</Paragraphs>
  <ScaleCrop>false</ScaleCrop>
  <Company>sportscotland</Company>
  <LinksUpToDate>false</LinksUpToDate>
  <CharactersWithSpaces>15202</CharactersWithSpaces>
  <SharedDoc>false</SharedDoc>
  <HLinks>
    <vt:vector size="6" baseType="variant">
      <vt:variant>
        <vt:i4>2687019</vt:i4>
      </vt:variant>
      <vt:variant>
        <vt:i4>0</vt:i4>
      </vt:variant>
      <vt:variant>
        <vt:i4>0</vt:i4>
      </vt:variant>
      <vt:variant>
        <vt:i4>5</vt:i4>
      </vt:variant>
      <vt:variant>
        <vt:lpwstr>https://sportscotland.org.uk/freedom-of-information/foidocuments/public-services-reform-scotland-act-2010/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PSRA Report</dc:title>
  <dc:subject/>
  <dc:creator>neville.cobb</dc:creator>
  <cp:keywords/>
  <cp:lastModifiedBy>Simon Taaffe</cp:lastModifiedBy>
  <cp:revision>72</cp:revision>
  <cp:lastPrinted>2019-01-04T23:19:00Z</cp:lastPrinted>
  <dcterms:created xsi:type="dcterms:W3CDTF">2023-10-20T12:59:00Z</dcterms:created>
  <dcterms:modified xsi:type="dcterms:W3CDTF">2023-11-22T17:20:00Z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0x010100046BE83503C28F42985AED1D7E6005E6</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_dlc_DocIdItemGuid">
    <vt:lpwstr>8456c91a-213e-4a00-8371-98dccec263b4</vt:lpwstr>
  </property>
  <property fmtid="{D5CDD505-2E9C-101B-9397-08002B2CF9AE}" pid="6" name="MediaServiceImageTags">
    <vt:lpwstr/>
  </property>
</Properties>
</file>