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BAC8" w14:textId="77777777" w:rsidR="005B4C21" w:rsidRDefault="005B4C21" w:rsidP="005B4C21">
      <w:pPr>
        <w:jc w:val="center"/>
        <w:rPr>
          <w:rFonts w:ascii="Arial" w:hAnsi="Arial" w:cs="Arial"/>
          <w:sz w:val="28"/>
          <w:szCs w:val="28"/>
        </w:rPr>
      </w:pPr>
    </w:p>
    <w:p w14:paraId="56834387" w14:textId="77777777" w:rsidR="005B4C21" w:rsidRDefault="005B4C21" w:rsidP="005B4C21">
      <w:pPr>
        <w:jc w:val="center"/>
        <w:rPr>
          <w:rFonts w:ascii="Arial" w:hAnsi="Arial" w:cs="Arial"/>
          <w:sz w:val="28"/>
          <w:szCs w:val="28"/>
        </w:rPr>
      </w:pPr>
    </w:p>
    <w:p w14:paraId="04C266B7" w14:textId="77777777" w:rsidR="005B4C21" w:rsidRDefault="005B4C21" w:rsidP="005B4C21">
      <w:pPr>
        <w:jc w:val="center"/>
        <w:rPr>
          <w:rFonts w:ascii="Arial" w:hAnsi="Arial" w:cs="Arial"/>
          <w:sz w:val="28"/>
          <w:szCs w:val="28"/>
        </w:rPr>
      </w:pPr>
    </w:p>
    <w:p w14:paraId="30EB37B3" w14:textId="77777777" w:rsidR="005B4C21" w:rsidRDefault="005B4C21" w:rsidP="005B4C21">
      <w:pPr>
        <w:jc w:val="center"/>
        <w:rPr>
          <w:rFonts w:ascii="Arial" w:hAnsi="Arial" w:cs="Arial"/>
          <w:sz w:val="28"/>
          <w:szCs w:val="28"/>
        </w:rPr>
      </w:pPr>
    </w:p>
    <w:p w14:paraId="4AC490DD" w14:textId="77777777" w:rsidR="005B4C21" w:rsidRDefault="005B4C21" w:rsidP="005B4C21">
      <w:pPr>
        <w:jc w:val="center"/>
        <w:rPr>
          <w:rFonts w:ascii="Arial" w:hAnsi="Arial" w:cs="Arial"/>
          <w:sz w:val="28"/>
          <w:szCs w:val="28"/>
        </w:rPr>
      </w:pPr>
    </w:p>
    <w:p w14:paraId="71F64905" w14:textId="77777777" w:rsidR="005B4C21" w:rsidRDefault="005B4C21" w:rsidP="005B4C21">
      <w:pPr>
        <w:jc w:val="center"/>
        <w:rPr>
          <w:rFonts w:ascii="Arial" w:hAnsi="Arial" w:cs="Arial"/>
          <w:sz w:val="28"/>
          <w:szCs w:val="28"/>
        </w:rPr>
      </w:pPr>
    </w:p>
    <w:p w14:paraId="105C43C0" w14:textId="77777777" w:rsidR="005B4C21" w:rsidRDefault="005B4C21" w:rsidP="005B4C21">
      <w:pPr>
        <w:jc w:val="center"/>
        <w:rPr>
          <w:rFonts w:ascii="Arial" w:hAnsi="Arial" w:cs="Arial"/>
          <w:sz w:val="28"/>
          <w:szCs w:val="28"/>
        </w:rPr>
      </w:pPr>
    </w:p>
    <w:p w14:paraId="3E9FC4D6" w14:textId="77777777" w:rsidR="005B4C21" w:rsidRDefault="005B4C21" w:rsidP="005B4C21">
      <w:pPr>
        <w:pStyle w:val="Onlyuseindocheader-categorystyle"/>
        <w:rPr>
          <w:b w:val="0"/>
        </w:rPr>
      </w:pPr>
    </w:p>
    <w:p w14:paraId="124F2667" w14:textId="77777777" w:rsidR="005B4C21" w:rsidRPr="00F4199D" w:rsidRDefault="005B4C21" w:rsidP="005B4C21">
      <w:pPr>
        <w:pStyle w:val="Onlyuseindocheader-categorystyle"/>
        <w:rPr>
          <w:b w:val="0"/>
        </w:rPr>
      </w:pPr>
      <w:r w:rsidRPr="00F4199D">
        <w:rPr>
          <w:b w:val="0"/>
        </w:rPr>
        <mc:AlternateContent>
          <mc:Choice Requires="wps">
            <w:drawing>
              <wp:anchor distT="0" distB="0" distL="114300" distR="114300" simplePos="0" relativeHeight="251658244" behindDoc="0" locked="0" layoutInCell="1" allowOverlap="1" wp14:anchorId="649C316D" wp14:editId="572105BA">
                <wp:simplePos x="0" y="0"/>
                <wp:positionH relativeFrom="column">
                  <wp:posOffset>10160</wp:posOffset>
                </wp:positionH>
                <wp:positionV relativeFrom="paragraph">
                  <wp:posOffset>-122184</wp:posOffset>
                </wp:positionV>
                <wp:extent cx="57175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8FFA6" id="Straight Connector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9.6pt" to="45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" strokecolor="#d8d8d8 [2732]" strokeweight="1pt"/>
            </w:pict>
          </mc:Fallback>
        </mc:AlternateContent>
      </w:r>
    </w:p>
    <w:p w14:paraId="09184413" w14:textId="2C9752EA" w:rsidR="005B4C21" w:rsidRPr="005B4C21" w:rsidRDefault="005B4C21" w:rsidP="005B4C21">
      <w:pPr>
        <w:rPr>
          <w:rFonts w:ascii="Arial" w:hAnsi="Arial" w:cs="Arial"/>
          <w:b/>
          <w:sz w:val="56"/>
          <w:szCs w:val="56"/>
        </w:rPr>
      </w:pPr>
      <w:r w:rsidRPr="005B4C21">
        <w:rPr>
          <w:rFonts w:ascii="Arial" w:hAnsi="Arial" w:cs="Arial"/>
          <w:b/>
          <w:sz w:val="56"/>
          <w:szCs w:val="56"/>
        </w:rPr>
        <w:t>Public Service Reform (Scotland) Act 2010 Disclosures 20</w:t>
      </w:r>
      <w:r w:rsidR="00CB3177">
        <w:rPr>
          <w:rFonts w:ascii="Arial" w:hAnsi="Arial" w:cs="Arial"/>
          <w:b/>
          <w:sz w:val="56"/>
          <w:szCs w:val="56"/>
        </w:rPr>
        <w:t>2</w:t>
      </w:r>
      <w:r w:rsidR="00404A83">
        <w:rPr>
          <w:rFonts w:ascii="Arial" w:hAnsi="Arial" w:cs="Arial"/>
          <w:b/>
          <w:sz w:val="56"/>
          <w:szCs w:val="56"/>
        </w:rPr>
        <w:t>3</w:t>
      </w:r>
      <w:r w:rsidRPr="005B4C21">
        <w:rPr>
          <w:rFonts w:ascii="Arial" w:hAnsi="Arial" w:cs="Arial"/>
          <w:b/>
          <w:sz w:val="56"/>
          <w:szCs w:val="56"/>
        </w:rPr>
        <w:t>-</w:t>
      </w:r>
      <w:r w:rsidR="00BF4BFD">
        <w:rPr>
          <w:rFonts w:ascii="Arial" w:hAnsi="Arial" w:cs="Arial"/>
          <w:b/>
          <w:sz w:val="56"/>
          <w:szCs w:val="56"/>
        </w:rPr>
        <w:t>2</w:t>
      </w:r>
      <w:r w:rsidR="00404A83">
        <w:rPr>
          <w:rFonts w:ascii="Arial" w:hAnsi="Arial" w:cs="Arial"/>
          <w:b/>
          <w:sz w:val="56"/>
          <w:szCs w:val="56"/>
        </w:rPr>
        <w:t>4</w:t>
      </w:r>
    </w:p>
    <w:p w14:paraId="3254C3F7" w14:textId="77777777" w:rsidR="005B4C21" w:rsidRPr="00F4199D" w:rsidRDefault="005B4C21" w:rsidP="005B4C21">
      <w:pPr>
        <w:pStyle w:val="Onlyuseindocheader-subtitleifneeded"/>
        <w:rPr>
          <w:b w:val="0"/>
        </w:rPr>
      </w:pPr>
    </w:p>
    <w:p w14:paraId="78EEA462" w14:textId="77777777" w:rsidR="005B4C21" w:rsidRDefault="005B4C21" w:rsidP="005B4C21">
      <w:r>
        <w:rPr>
          <w:noProof/>
          <w:sz w:val="52"/>
          <w:szCs w:val="52"/>
          <w:lang w:eastAsia="en-GB"/>
        </w:rPr>
        <w:drawing>
          <wp:anchor distT="0" distB="0" distL="114300" distR="114300" simplePos="0" relativeHeight="251658241" behindDoc="1" locked="0" layoutInCell="1" allowOverlap="1" wp14:anchorId="28E59653" wp14:editId="0AC4BB42">
            <wp:simplePos x="0" y="0"/>
            <wp:positionH relativeFrom="column">
              <wp:posOffset>0</wp:posOffset>
            </wp:positionH>
            <wp:positionV relativeFrom="paragraph">
              <wp:posOffset>223358</wp:posOffset>
            </wp:positionV>
            <wp:extent cx="2654300" cy="516255"/>
            <wp:effectExtent l="0" t="0" r="0" b="0"/>
            <wp:wrapNone/>
            <wp:docPr id="13" name="Picture 13" descr="ssc_band_A4 portraitB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c_band_A4 portraitBW300"/>
                    <pic:cNvPicPr>
                      <a:picLocks noChangeAspect="1" noChangeArrowheads="1"/>
                    </pic:cNvPicPr>
                  </pic:nvPicPr>
                  <pic:blipFill>
                    <a:blip r:embed="rId12" cstate="print"/>
                    <a:srcRect l="5573" t="13992" r="48720" b="9053"/>
                    <a:stretch>
                      <a:fillRect/>
                    </a:stretch>
                  </pic:blipFill>
                  <pic:spPr bwMode="auto">
                    <a:xfrm>
                      <a:off x="0" y="0"/>
                      <a:ext cx="2654300" cy="516255"/>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8242" behindDoc="0" locked="0" layoutInCell="1" allowOverlap="1" wp14:anchorId="385082EE" wp14:editId="03BBC7E5">
                <wp:simplePos x="0" y="0"/>
                <wp:positionH relativeFrom="column">
                  <wp:posOffset>0</wp:posOffset>
                </wp:positionH>
                <wp:positionV relativeFrom="paragraph">
                  <wp:posOffset>165100</wp:posOffset>
                </wp:positionV>
                <wp:extent cx="57175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6254B"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5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" strokecolor="#d8d8d8 [2732]" strokeweight="1pt"/>
            </w:pict>
          </mc:Fallback>
        </mc:AlternateContent>
      </w:r>
    </w:p>
    <w:p w14:paraId="762532A4" w14:textId="77777777" w:rsidR="005B4C21" w:rsidRPr="00DD120E" w:rsidRDefault="005B4C21" w:rsidP="005B4C21">
      <w:pPr>
        <w:spacing w:after="480"/>
        <w:jc w:val="both"/>
        <w:rPr>
          <w:sz w:val="52"/>
          <w:szCs w:val="52"/>
        </w:rPr>
      </w:pPr>
      <w:r>
        <w:rPr>
          <w:noProof/>
          <w:sz w:val="52"/>
          <w:szCs w:val="52"/>
          <w:lang w:eastAsia="en-GB"/>
        </w:rPr>
        <w:drawing>
          <wp:anchor distT="0" distB="0" distL="114300" distR="114300" simplePos="0" relativeHeight="251658240" behindDoc="1" locked="0" layoutInCell="1" allowOverlap="1" wp14:anchorId="55F05117" wp14:editId="7F63C255">
            <wp:simplePos x="0" y="0"/>
            <wp:positionH relativeFrom="column">
              <wp:posOffset>3421380</wp:posOffset>
            </wp:positionH>
            <wp:positionV relativeFrom="paragraph">
              <wp:posOffset>-6985</wp:posOffset>
            </wp:positionV>
            <wp:extent cx="2305050" cy="460375"/>
            <wp:effectExtent l="0" t="0" r="0" b="0"/>
            <wp:wrapNone/>
            <wp:docPr id="12" name="Picture 12" descr="ssc_band_A4 portraitB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c_band_A4 portraitBW300"/>
                    <pic:cNvPicPr>
                      <a:picLocks noChangeAspect="1" noChangeArrowheads="1"/>
                    </pic:cNvPicPr>
                  </pic:nvPicPr>
                  <pic:blipFill>
                    <a:blip r:embed="rId13"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8243" behindDoc="0" locked="0" layoutInCell="1" allowOverlap="1" wp14:anchorId="3123350F" wp14:editId="2EB755CB">
                <wp:simplePos x="0" y="0"/>
                <wp:positionH relativeFrom="column">
                  <wp:posOffset>0</wp:posOffset>
                </wp:positionH>
                <wp:positionV relativeFrom="paragraph">
                  <wp:posOffset>472913</wp:posOffset>
                </wp:positionV>
                <wp:extent cx="57175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CF921" id="Straight Connector 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25pt" to="450.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" strokecolor="#d8d8d8 [2732]" strokeweight="1pt"/>
            </w:pict>
          </mc:Fallback>
        </mc:AlternateContent>
      </w:r>
    </w:p>
    <w:p w14:paraId="0C14C547" w14:textId="77777777" w:rsidR="005B4C21" w:rsidRDefault="005B4C21" w:rsidP="005B4C21">
      <w:pPr>
        <w:jc w:val="center"/>
        <w:rPr>
          <w:rFonts w:ascii="Arial" w:hAnsi="Arial" w:cs="Arial"/>
          <w:sz w:val="28"/>
          <w:szCs w:val="28"/>
        </w:rPr>
      </w:pPr>
    </w:p>
    <w:p w14:paraId="13E0E679" w14:textId="77777777" w:rsidR="005B4C21" w:rsidRPr="00575DC3" w:rsidRDefault="005B4C21" w:rsidP="005B4C21">
      <w:pPr>
        <w:jc w:val="center"/>
        <w:rPr>
          <w:rFonts w:ascii="Arial" w:hAnsi="Arial" w:cs="Arial"/>
          <w:sz w:val="28"/>
          <w:szCs w:val="28"/>
        </w:rPr>
      </w:pPr>
    </w:p>
    <w:p w14:paraId="35F673D8" w14:textId="77777777" w:rsidR="005B4C21" w:rsidRDefault="005B4C21" w:rsidP="005B4C21">
      <w:pPr>
        <w:jc w:val="center"/>
        <w:rPr>
          <w:rFonts w:ascii="Arial" w:hAnsi="Arial" w:cs="Arial"/>
          <w:b/>
          <w:color w:val="17365D"/>
          <w:sz w:val="40"/>
          <w:szCs w:val="32"/>
        </w:rPr>
      </w:pPr>
    </w:p>
    <w:p w14:paraId="4AE994B5" w14:textId="35550437" w:rsidR="005B4C21" w:rsidRPr="00575DC3" w:rsidRDefault="005B4C21" w:rsidP="009D7CD8">
      <w:pPr>
        <w:tabs>
          <w:tab w:val="left" w:pos="5385"/>
        </w:tabs>
        <w:rPr>
          <w:rFonts w:ascii="Arial" w:hAnsi="Arial" w:cs="Arial"/>
          <w:sz w:val="28"/>
          <w:szCs w:val="28"/>
        </w:rPr>
      </w:pPr>
    </w:p>
    <w:p w14:paraId="7DFACFDF" w14:textId="77777777" w:rsidR="005B4C21" w:rsidRDefault="005B4C21" w:rsidP="005B4C21">
      <w:pPr>
        <w:rPr>
          <w:rFonts w:ascii="Arial" w:hAnsi="Arial" w:cs="Arial"/>
          <w:sz w:val="28"/>
          <w:szCs w:val="28"/>
        </w:rPr>
      </w:pPr>
      <w:r>
        <w:rPr>
          <w:rFonts w:ascii="Arial" w:hAnsi="Arial" w:cs="Arial"/>
          <w:sz w:val="28"/>
          <w:szCs w:val="28"/>
        </w:rPr>
        <w:br w:type="page"/>
      </w:r>
    </w:p>
    <w:p w14:paraId="1A05A256" w14:textId="77777777" w:rsidR="005B4C21" w:rsidRPr="0026551E" w:rsidRDefault="005B4C21" w:rsidP="005B4C21">
      <w:pPr>
        <w:rPr>
          <w:rFonts w:ascii="Arial" w:hAnsi="Arial" w:cs="Arial"/>
          <w:b/>
          <w:color w:val="17365D"/>
          <w:sz w:val="36"/>
          <w:szCs w:val="36"/>
        </w:rPr>
      </w:pPr>
      <w:r w:rsidRPr="0026551E">
        <w:rPr>
          <w:rFonts w:ascii="Arial" w:hAnsi="Arial" w:cs="Arial"/>
          <w:b/>
          <w:color w:val="17365D"/>
          <w:sz w:val="36"/>
          <w:szCs w:val="36"/>
        </w:rPr>
        <w:lastRenderedPageBreak/>
        <w:t>Document Control</w:t>
      </w:r>
    </w:p>
    <w:p w14:paraId="65318EB0" w14:textId="77777777" w:rsidR="005B4C21" w:rsidRPr="0026551E" w:rsidRDefault="005B4C21" w:rsidP="005B4C21">
      <w:pPr>
        <w:rPr>
          <w:rFonts w:ascii="Arial" w:hAnsi="Arial" w:cs="Arial"/>
          <w:b/>
          <w:color w:val="17365D"/>
          <w:sz w:val="36"/>
          <w:szCs w:val="36"/>
        </w:rPr>
      </w:pPr>
    </w:p>
    <w:p w14:paraId="393BE0C9" w14:textId="383F75EA" w:rsidR="005B4C21" w:rsidRPr="0026551E" w:rsidRDefault="005B4C21" w:rsidP="005B4C21">
      <w:pPr>
        <w:rPr>
          <w:rFonts w:ascii="Arial" w:hAnsi="Arial" w:cs="Arial"/>
          <w:b/>
          <w:color w:val="17365D"/>
          <w:sz w:val="36"/>
          <w:szCs w:val="36"/>
        </w:rPr>
      </w:pPr>
      <w:r w:rsidRPr="0026551E">
        <w:rPr>
          <w:rFonts w:ascii="Arial" w:hAnsi="Arial" w:cs="Arial"/>
          <w:b/>
          <w:color w:val="17365D"/>
          <w:sz w:val="36"/>
          <w:szCs w:val="36"/>
        </w:rPr>
        <w:t>Change Record</w:t>
      </w:r>
    </w:p>
    <w:p w14:paraId="492B599C" w14:textId="77777777" w:rsidR="005B4C21" w:rsidRDefault="005B4C21" w:rsidP="005B4C21">
      <w:pPr>
        <w:rPr>
          <w:rFonts w:ascii="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59"/>
        <w:gridCol w:w="1239"/>
        <w:gridCol w:w="3251"/>
      </w:tblGrid>
      <w:tr w:rsidR="005B4C21" w:rsidRPr="0026551E" w14:paraId="054565BF" w14:textId="77777777" w:rsidTr="005947B3">
        <w:tc>
          <w:tcPr>
            <w:tcW w:w="2267" w:type="dxa"/>
            <w:shd w:val="clear" w:color="auto" w:fill="DBE5F1" w:themeFill="accent1" w:themeFillTint="33"/>
          </w:tcPr>
          <w:p w14:paraId="1F19804E" w14:textId="77777777" w:rsidR="005B4C21" w:rsidRPr="005947B3" w:rsidRDefault="005B4C21" w:rsidP="005947B3">
            <w:pPr>
              <w:jc w:val="center"/>
              <w:rPr>
                <w:rFonts w:ascii="Arial" w:hAnsi="Arial" w:cs="Arial"/>
                <w:b/>
                <w:bCs/>
              </w:rPr>
            </w:pPr>
            <w:r w:rsidRPr="005947B3">
              <w:rPr>
                <w:rFonts w:ascii="Arial" w:hAnsi="Arial" w:cs="Arial"/>
                <w:b/>
                <w:bCs/>
              </w:rPr>
              <w:t>Date</w:t>
            </w:r>
          </w:p>
        </w:tc>
        <w:tc>
          <w:tcPr>
            <w:tcW w:w="2259" w:type="dxa"/>
            <w:shd w:val="clear" w:color="auto" w:fill="DBE5F1" w:themeFill="accent1" w:themeFillTint="33"/>
          </w:tcPr>
          <w:p w14:paraId="305BE084" w14:textId="77777777" w:rsidR="005B4C21" w:rsidRPr="005947B3" w:rsidRDefault="005B4C21" w:rsidP="005947B3">
            <w:pPr>
              <w:jc w:val="center"/>
              <w:rPr>
                <w:rFonts w:ascii="Arial" w:hAnsi="Arial" w:cs="Arial"/>
                <w:b/>
                <w:bCs/>
              </w:rPr>
            </w:pPr>
            <w:r w:rsidRPr="005947B3">
              <w:rPr>
                <w:rFonts w:ascii="Arial" w:hAnsi="Arial" w:cs="Arial"/>
                <w:b/>
                <w:bCs/>
              </w:rPr>
              <w:t>Author</w:t>
            </w:r>
          </w:p>
        </w:tc>
        <w:tc>
          <w:tcPr>
            <w:tcW w:w="1239" w:type="dxa"/>
            <w:shd w:val="clear" w:color="auto" w:fill="DBE5F1" w:themeFill="accent1" w:themeFillTint="33"/>
          </w:tcPr>
          <w:p w14:paraId="4FC0F9ED" w14:textId="77777777" w:rsidR="005B4C21" w:rsidRPr="005947B3" w:rsidRDefault="005B4C21" w:rsidP="005947B3">
            <w:pPr>
              <w:jc w:val="center"/>
              <w:rPr>
                <w:rFonts w:ascii="Arial" w:hAnsi="Arial" w:cs="Arial"/>
                <w:b/>
                <w:bCs/>
              </w:rPr>
            </w:pPr>
            <w:r w:rsidRPr="005947B3">
              <w:rPr>
                <w:rFonts w:ascii="Arial" w:hAnsi="Arial" w:cs="Arial"/>
                <w:b/>
                <w:bCs/>
              </w:rPr>
              <w:t>Version</w:t>
            </w:r>
          </w:p>
        </w:tc>
        <w:tc>
          <w:tcPr>
            <w:tcW w:w="3251" w:type="dxa"/>
            <w:shd w:val="clear" w:color="auto" w:fill="DBE5F1" w:themeFill="accent1" w:themeFillTint="33"/>
          </w:tcPr>
          <w:p w14:paraId="3940C7FF" w14:textId="77777777" w:rsidR="005B4C21" w:rsidRPr="005947B3" w:rsidRDefault="005B4C21" w:rsidP="005947B3">
            <w:pPr>
              <w:jc w:val="center"/>
              <w:rPr>
                <w:rFonts w:ascii="Arial" w:hAnsi="Arial" w:cs="Arial"/>
                <w:b/>
                <w:bCs/>
              </w:rPr>
            </w:pPr>
            <w:r w:rsidRPr="005947B3">
              <w:rPr>
                <w:rFonts w:ascii="Arial" w:hAnsi="Arial" w:cs="Arial"/>
                <w:b/>
                <w:bCs/>
              </w:rPr>
              <w:t>Change Reference</w:t>
            </w:r>
          </w:p>
        </w:tc>
      </w:tr>
      <w:tr w:rsidR="005B4C21" w:rsidRPr="0026551E" w14:paraId="13650B23" w14:textId="77777777" w:rsidTr="7CEFE329">
        <w:tc>
          <w:tcPr>
            <w:tcW w:w="2267" w:type="dxa"/>
          </w:tcPr>
          <w:p w14:paraId="525CF746" w14:textId="4438CDCE" w:rsidR="005B4C21" w:rsidRPr="0026551E" w:rsidRDefault="0020347C" w:rsidP="003B0B53">
            <w:pPr>
              <w:rPr>
                <w:rFonts w:ascii="Arial" w:hAnsi="Arial" w:cs="Arial"/>
              </w:rPr>
            </w:pPr>
            <w:r>
              <w:rPr>
                <w:rFonts w:ascii="Arial" w:hAnsi="Arial" w:cs="Arial"/>
              </w:rPr>
              <w:t>02</w:t>
            </w:r>
            <w:r w:rsidR="00404A83">
              <w:rPr>
                <w:rFonts w:ascii="Arial" w:hAnsi="Arial" w:cs="Arial"/>
              </w:rPr>
              <w:t>/12/2</w:t>
            </w:r>
            <w:r>
              <w:rPr>
                <w:rFonts w:ascii="Arial" w:hAnsi="Arial" w:cs="Arial"/>
              </w:rPr>
              <w:t>5</w:t>
            </w:r>
          </w:p>
        </w:tc>
        <w:tc>
          <w:tcPr>
            <w:tcW w:w="2259" w:type="dxa"/>
          </w:tcPr>
          <w:p w14:paraId="53871CAF" w14:textId="6FB4060D" w:rsidR="005B4C21" w:rsidRPr="0026551E" w:rsidRDefault="0020347C" w:rsidP="003B0B53">
            <w:pPr>
              <w:rPr>
                <w:rFonts w:ascii="Arial" w:hAnsi="Arial" w:cs="Arial"/>
              </w:rPr>
            </w:pPr>
            <w:r>
              <w:rPr>
                <w:rFonts w:ascii="Arial" w:hAnsi="Arial" w:cs="Arial"/>
              </w:rPr>
              <w:t>Mark Drummond</w:t>
            </w:r>
          </w:p>
        </w:tc>
        <w:tc>
          <w:tcPr>
            <w:tcW w:w="1239" w:type="dxa"/>
          </w:tcPr>
          <w:p w14:paraId="016440C4" w14:textId="77777777" w:rsidR="005B4C21" w:rsidRPr="0026551E" w:rsidRDefault="005B4C21" w:rsidP="003B0B53">
            <w:pPr>
              <w:rPr>
                <w:rFonts w:ascii="Arial" w:hAnsi="Arial" w:cs="Arial"/>
              </w:rPr>
            </w:pPr>
            <w:r>
              <w:rPr>
                <w:rFonts w:ascii="Arial" w:hAnsi="Arial" w:cs="Arial"/>
              </w:rPr>
              <w:t>0.1 draft</w:t>
            </w:r>
          </w:p>
        </w:tc>
        <w:tc>
          <w:tcPr>
            <w:tcW w:w="3251" w:type="dxa"/>
          </w:tcPr>
          <w:p w14:paraId="7E1554D9" w14:textId="77777777" w:rsidR="005B4C21" w:rsidRPr="0026551E" w:rsidRDefault="005B4C21" w:rsidP="003B0B53">
            <w:pPr>
              <w:rPr>
                <w:rFonts w:ascii="Arial" w:hAnsi="Arial" w:cs="Arial"/>
              </w:rPr>
            </w:pPr>
          </w:p>
        </w:tc>
      </w:tr>
      <w:tr w:rsidR="005B4C21" w:rsidRPr="0026551E" w14:paraId="6037A5E9" w14:textId="77777777" w:rsidTr="007726CE">
        <w:tc>
          <w:tcPr>
            <w:tcW w:w="2267" w:type="dxa"/>
          </w:tcPr>
          <w:p w14:paraId="2668F7F0" w14:textId="6961AB8E" w:rsidR="005B4C21" w:rsidRDefault="005B4C21" w:rsidP="003B0B53">
            <w:pPr>
              <w:rPr>
                <w:rFonts w:ascii="Arial" w:hAnsi="Arial" w:cs="Arial"/>
              </w:rPr>
            </w:pPr>
          </w:p>
        </w:tc>
        <w:tc>
          <w:tcPr>
            <w:tcW w:w="2259" w:type="dxa"/>
          </w:tcPr>
          <w:p w14:paraId="23FC6AD6" w14:textId="36FE937E" w:rsidR="005B4C21" w:rsidRDefault="005B4C21" w:rsidP="003B0B53">
            <w:pPr>
              <w:rPr>
                <w:rFonts w:ascii="Arial" w:hAnsi="Arial" w:cs="Arial"/>
              </w:rPr>
            </w:pPr>
          </w:p>
        </w:tc>
        <w:tc>
          <w:tcPr>
            <w:tcW w:w="1239" w:type="dxa"/>
          </w:tcPr>
          <w:p w14:paraId="259B5382" w14:textId="6B0842FB" w:rsidR="005B4C21" w:rsidRDefault="005B4C21" w:rsidP="003B0B53">
            <w:pPr>
              <w:rPr>
                <w:rFonts w:ascii="Arial" w:hAnsi="Arial" w:cs="Arial"/>
              </w:rPr>
            </w:pPr>
          </w:p>
        </w:tc>
        <w:tc>
          <w:tcPr>
            <w:tcW w:w="3251" w:type="dxa"/>
          </w:tcPr>
          <w:p w14:paraId="52DF6BCE" w14:textId="523C369F" w:rsidR="005B4C21" w:rsidRDefault="005B4C21" w:rsidP="003B0B53">
            <w:pPr>
              <w:rPr>
                <w:rFonts w:ascii="Arial" w:hAnsi="Arial" w:cs="Arial"/>
              </w:rPr>
            </w:pPr>
          </w:p>
        </w:tc>
      </w:tr>
      <w:tr w:rsidR="00205107" w:rsidRPr="0026551E" w14:paraId="01146808" w14:textId="77777777" w:rsidTr="7CEFE329">
        <w:tc>
          <w:tcPr>
            <w:tcW w:w="2267" w:type="dxa"/>
          </w:tcPr>
          <w:p w14:paraId="6790AE8C" w14:textId="781A8774" w:rsidR="00205107" w:rsidRDefault="00205107" w:rsidP="003B0B53">
            <w:pPr>
              <w:rPr>
                <w:rFonts w:ascii="Arial" w:hAnsi="Arial" w:cs="Arial"/>
              </w:rPr>
            </w:pPr>
          </w:p>
        </w:tc>
        <w:tc>
          <w:tcPr>
            <w:tcW w:w="2259" w:type="dxa"/>
          </w:tcPr>
          <w:p w14:paraId="348521ED" w14:textId="7CCAA7E1" w:rsidR="00205107" w:rsidRDefault="00205107" w:rsidP="003B0B53">
            <w:pPr>
              <w:rPr>
                <w:rFonts w:ascii="Arial" w:hAnsi="Arial" w:cs="Arial"/>
              </w:rPr>
            </w:pPr>
          </w:p>
        </w:tc>
        <w:tc>
          <w:tcPr>
            <w:tcW w:w="1239" w:type="dxa"/>
          </w:tcPr>
          <w:p w14:paraId="72735E9B" w14:textId="750FDE28" w:rsidR="00205107" w:rsidRDefault="00205107" w:rsidP="003B0B53">
            <w:pPr>
              <w:rPr>
                <w:rFonts w:ascii="Arial" w:hAnsi="Arial" w:cs="Arial"/>
              </w:rPr>
            </w:pPr>
          </w:p>
        </w:tc>
        <w:tc>
          <w:tcPr>
            <w:tcW w:w="3251" w:type="dxa"/>
          </w:tcPr>
          <w:p w14:paraId="4F015486" w14:textId="5F6D096F" w:rsidR="00205107" w:rsidRPr="00DB2525" w:rsidRDefault="00205107" w:rsidP="003B0B53">
            <w:pPr>
              <w:rPr>
                <w:rFonts w:ascii="Arial" w:hAnsi="Arial" w:cs="Arial"/>
                <w:highlight w:val="yellow"/>
              </w:rPr>
            </w:pPr>
          </w:p>
        </w:tc>
      </w:tr>
    </w:tbl>
    <w:p w14:paraId="51E4C0F2" w14:textId="77777777" w:rsidR="005B4C21" w:rsidRDefault="005B4C21" w:rsidP="005B4C21">
      <w:pPr>
        <w:rPr>
          <w:rFonts w:ascii="Arial" w:hAnsi="Arial"/>
          <w:b/>
          <w:sz w:val="32"/>
          <w:szCs w:val="20"/>
        </w:rPr>
      </w:pPr>
      <w:r>
        <w:br w:type="page"/>
      </w:r>
    </w:p>
    <w:p w14:paraId="4FCAF3EE" w14:textId="77777777" w:rsidR="005B4C21" w:rsidRPr="00420175" w:rsidRDefault="005B4C21" w:rsidP="005B4C21">
      <w:pPr>
        <w:pStyle w:val="Intro"/>
        <w:spacing w:before="400"/>
        <w:rPr>
          <w:sz w:val="36"/>
          <w:szCs w:val="36"/>
        </w:rPr>
      </w:pPr>
      <w:r w:rsidRPr="00420175">
        <w:rPr>
          <w:sz w:val="36"/>
          <w:szCs w:val="36"/>
        </w:rPr>
        <w:lastRenderedPageBreak/>
        <w:t>Contents</w:t>
      </w:r>
    </w:p>
    <w:p w14:paraId="37FCE081" w14:textId="77777777" w:rsidR="005B4C21" w:rsidRDefault="005B4C21" w:rsidP="005B4C21"/>
    <w:p w14:paraId="7B3D960B" w14:textId="77777777" w:rsidR="005B4C21" w:rsidRDefault="005B4C21" w:rsidP="005B4C21">
      <w:pPr>
        <w:rPr>
          <w:rFonts w:ascii="Arial" w:hAnsi="Arial" w:cs="Arial"/>
          <w:sz w:val="28"/>
          <w:szCs w:val="28"/>
        </w:rPr>
      </w:pPr>
    </w:p>
    <w:p w14:paraId="04B21464" w14:textId="77777777" w:rsidR="005B4C21" w:rsidRDefault="005B4C21" w:rsidP="005B4C21">
      <w:pPr>
        <w:rPr>
          <w:rFonts w:ascii="Arial" w:hAnsi="Arial" w:cs="Arial"/>
          <w:sz w:val="28"/>
          <w:szCs w:val="28"/>
        </w:rPr>
      </w:pPr>
    </w:p>
    <w:p w14:paraId="3EC5057D" w14:textId="77777777" w:rsidR="005B4C21" w:rsidRDefault="005B4C21" w:rsidP="005B4C21">
      <w:pPr>
        <w:rPr>
          <w:rFonts w:ascii="Arial" w:hAnsi="Arial" w:cs="Arial"/>
          <w:sz w:val="28"/>
          <w:szCs w:val="28"/>
        </w:rPr>
      </w:pPr>
    </w:p>
    <w:p w14:paraId="277058FD" w14:textId="77777777" w:rsidR="005B4C21" w:rsidRDefault="005B4C21" w:rsidP="005B4C21">
      <w:pPr>
        <w:tabs>
          <w:tab w:val="left" w:pos="7938"/>
        </w:tabs>
        <w:rPr>
          <w:rFonts w:ascii="Arial" w:hAnsi="Arial" w:cs="Arial"/>
          <w:sz w:val="28"/>
          <w:szCs w:val="28"/>
        </w:rPr>
      </w:pPr>
      <w:r>
        <w:rPr>
          <w:rFonts w:ascii="Arial" w:hAnsi="Arial" w:cs="Arial"/>
          <w:sz w:val="28"/>
          <w:szCs w:val="28"/>
        </w:rPr>
        <w:t>Section 1 Introduction</w:t>
      </w:r>
      <w:r>
        <w:rPr>
          <w:rFonts w:ascii="Arial" w:hAnsi="Arial" w:cs="Arial"/>
          <w:sz w:val="28"/>
          <w:szCs w:val="28"/>
        </w:rPr>
        <w:tab/>
        <w:t>Page 4</w:t>
      </w:r>
    </w:p>
    <w:p w14:paraId="1C12ADD1" w14:textId="77777777" w:rsidR="005B4C21" w:rsidRDefault="005B4C21" w:rsidP="005B4C21">
      <w:pPr>
        <w:tabs>
          <w:tab w:val="left" w:pos="7938"/>
        </w:tabs>
        <w:rPr>
          <w:rFonts w:ascii="Arial" w:hAnsi="Arial" w:cs="Arial"/>
          <w:sz w:val="28"/>
          <w:szCs w:val="28"/>
        </w:rPr>
      </w:pPr>
    </w:p>
    <w:p w14:paraId="13A2DE7B" w14:textId="77777777" w:rsidR="005B4C21" w:rsidRDefault="005B4C21" w:rsidP="005B4C21">
      <w:pPr>
        <w:tabs>
          <w:tab w:val="left" w:pos="7938"/>
        </w:tabs>
        <w:rPr>
          <w:rFonts w:ascii="Arial" w:hAnsi="Arial" w:cs="Arial"/>
          <w:sz w:val="28"/>
          <w:szCs w:val="28"/>
        </w:rPr>
      </w:pPr>
    </w:p>
    <w:p w14:paraId="6A3DC6F5" w14:textId="5E7CB136" w:rsidR="005B4C21" w:rsidRDefault="005B4C21" w:rsidP="005B4C21">
      <w:pPr>
        <w:tabs>
          <w:tab w:val="left" w:pos="7938"/>
        </w:tabs>
        <w:rPr>
          <w:rFonts w:ascii="Arial" w:hAnsi="Arial" w:cs="Arial"/>
          <w:sz w:val="28"/>
          <w:szCs w:val="28"/>
        </w:rPr>
      </w:pPr>
      <w:r>
        <w:rPr>
          <w:rFonts w:ascii="Arial" w:hAnsi="Arial" w:cs="Arial"/>
          <w:sz w:val="28"/>
          <w:szCs w:val="28"/>
        </w:rPr>
        <w:t>Section 2 Disclosures</w:t>
      </w:r>
      <w:r>
        <w:rPr>
          <w:rFonts w:ascii="Arial" w:hAnsi="Arial" w:cs="Arial"/>
          <w:sz w:val="28"/>
          <w:szCs w:val="28"/>
        </w:rPr>
        <w:tab/>
        <w:t>Page 4</w:t>
      </w:r>
    </w:p>
    <w:p w14:paraId="5F06A0A2" w14:textId="77777777" w:rsidR="005B4C21" w:rsidRDefault="005B4C21" w:rsidP="005B4C21">
      <w:pPr>
        <w:tabs>
          <w:tab w:val="left" w:pos="7938"/>
        </w:tabs>
        <w:rPr>
          <w:rFonts w:ascii="Arial" w:hAnsi="Arial" w:cs="Arial"/>
          <w:sz w:val="28"/>
          <w:szCs w:val="28"/>
        </w:rPr>
      </w:pPr>
    </w:p>
    <w:p w14:paraId="1C4D5BD1" w14:textId="77777777" w:rsidR="005B4C21" w:rsidRDefault="005B4C21" w:rsidP="005B4C21">
      <w:pPr>
        <w:tabs>
          <w:tab w:val="left" w:pos="7938"/>
        </w:tabs>
        <w:rPr>
          <w:rFonts w:ascii="Arial" w:hAnsi="Arial" w:cs="Arial"/>
          <w:sz w:val="28"/>
          <w:szCs w:val="28"/>
        </w:rPr>
      </w:pPr>
    </w:p>
    <w:p w14:paraId="5EC82928" w14:textId="5EF0B3B0" w:rsidR="005B4C21" w:rsidRDefault="005B4C21" w:rsidP="005B4C21">
      <w:pPr>
        <w:tabs>
          <w:tab w:val="left" w:pos="7938"/>
        </w:tabs>
        <w:rPr>
          <w:rFonts w:ascii="Arial" w:hAnsi="Arial" w:cs="Arial"/>
          <w:sz w:val="28"/>
          <w:szCs w:val="28"/>
        </w:rPr>
      </w:pPr>
      <w:r>
        <w:rPr>
          <w:rFonts w:ascii="Arial" w:hAnsi="Arial" w:cs="Arial"/>
          <w:sz w:val="28"/>
          <w:szCs w:val="28"/>
        </w:rPr>
        <w:t>Section 3 Payments in Excess of £25,000</w:t>
      </w:r>
      <w:r>
        <w:rPr>
          <w:rFonts w:ascii="Arial" w:hAnsi="Arial" w:cs="Arial"/>
          <w:sz w:val="28"/>
          <w:szCs w:val="28"/>
        </w:rPr>
        <w:tab/>
        <w:t>Page 5</w:t>
      </w:r>
    </w:p>
    <w:p w14:paraId="3FDFC144" w14:textId="77777777" w:rsidR="005B4C21" w:rsidRDefault="005B4C21" w:rsidP="005B4C21">
      <w:pPr>
        <w:tabs>
          <w:tab w:val="left" w:pos="7938"/>
        </w:tabs>
        <w:rPr>
          <w:rFonts w:ascii="Arial" w:hAnsi="Arial" w:cs="Arial"/>
          <w:sz w:val="28"/>
          <w:szCs w:val="28"/>
        </w:rPr>
      </w:pPr>
    </w:p>
    <w:p w14:paraId="06063076" w14:textId="77777777" w:rsidR="005B4C21" w:rsidRDefault="005B4C21" w:rsidP="005B4C21">
      <w:pPr>
        <w:tabs>
          <w:tab w:val="left" w:pos="7938"/>
        </w:tabs>
        <w:rPr>
          <w:rFonts w:ascii="Arial" w:hAnsi="Arial" w:cs="Arial"/>
          <w:sz w:val="28"/>
          <w:szCs w:val="28"/>
        </w:rPr>
      </w:pPr>
    </w:p>
    <w:p w14:paraId="367DE1C7" w14:textId="2999A953" w:rsidR="005B4C21" w:rsidRDefault="005B4C21" w:rsidP="005B4C21">
      <w:pPr>
        <w:tabs>
          <w:tab w:val="left" w:pos="7938"/>
        </w:tabs>
        <w:rPr>
          <w:rFonts w:ascii="Arial" w:hAnsi="Arial" w:cs="Arial"/>
          <w:sz w:val="28"/>
          <w:szCs w:val="28"/>
        </w:rPr>
      </w:pPr>
      <w:r>
        <w:rPr>
          <w:rFonts w:ascii="Arial" w:hAnsi="Arial" w:cs="Arial"/>
          <w:sz w:val="28"/>
          <w:szCs w:val="28"/>
        </w:rPr>
        <w:t>Section 4 Staff earning over £150,000</w:t>
      </w:r>
      <w:r>
        <w:rPr>
          <w:rFonts w:ascii="Arial" w:hAnsi="Arial" w:cs="Arial"/>
          <w:sz w:val="28"/>
          <w:szCs w:val="28"/>
        </w:rPr>
        <w:tab/>
        <w:t>Page 5</w:t>
      </w:r>
    </w:p>
    <w:p w14:paraId="164B7101" w14:textId="77777777" w:rsidR="005B4C21" w:rsidRDefault="005B4C21" w:rsidP="005B4C21">
      <w:pPr>
        <w:tabs>
          <w:tab w:val="left" w:pos="7938"/>
        </w:tabs>
        <w:rPr>
          <w:rFonts w:ascii="Arial" w:hAnsi="Arial" w:cs="Arial"/>
          <w:sz w:val="28"/>
          <w:szCs w:val="28"/>
        </w:rPr>
      </w:pPr>
    </w:p>
    <w:p w14:paraId="673AE171" w14:textId="77777777" w:rsidR="005B4C21" w:rsidRDefault="005B4C21" w:rsidP="005B4C21">
      <w:pPr>
        <w:tabs>
          <w:tab w:val="left" w:pos="7938"/>
        </w:tabs>
        <w:rPr>
          <w:rFonts w:ascii="Arial" w:hAnsi="Arial" w:cs="Arial"/>
          <w:sz w:val="28"/>
          <w:szCs w:val="28"/>
        </w:rPr>
      </w:pPr>
    </w:p>
    <w:p w14:paraId="58E7A116" w14:textId="1E5F4EFD" w:rsidR="005B4C21" w:rsidRDefault="005B4C21" w:rsidP="005B4C21">
      <w:pPr>
        <w:tabs>
          <w:tab w:val="left" w:pos="7938"/>
        </w:tabs>
        <w:rPr>
          <w:rFonts w:ascii="Arial" w:hAnsi="Arial" w:cs="Arial"/>
          <w:sz w:val="28"/>
          <w:szCs w:val="28"/>
        </w:rPr>
      </w:pPr>
      <w:r>
        <w:rPr>
          <w:rFonts w:ascii="Arial" w:hAnsi="Arial" w:cs="Arial"/>
          <w:sz w:val="28"/>
          <w:szCs w:val="28"/>
        </w:rPr>
        <w:t>Section 5 Statement on Sustainable Growth</w:t>
      </w:r>
      <w:r>
        <w:rPr>
          <w:rFonts w:ascii="Arial" w:hAnsi="Arial" w:cs="Arial"/>
          <w:sz w:val="28"/>
          <w:szCs w:val="28"/>
        </w:rPr>
        <w:tab/>
        <w:t>Page 5</w:t>
      </w:r>
    </w:p>
    <w:p w14:paraId="491BBE8E" w14:textId="77777777" w:rsidR="005B4C21" w:rsidRDefault="005B4C21" w:rsidP="005B4C21">
      <w:pPr>
        <w:tabs>
          <w:tab w:val="left" w:pos="7938"/>
        </w:tabs>
        <w:rPr>
          <w:rFonts w:ascii="Arial" w:hAnsi="Arial" w:cs="Arial"/>
          <w:sz w:val="28"/>
          <w:szCs w:val="28"/>
        </w:rPr>
      </w:pPr>
    </w:p>
    <w:p w14:paraId="486A2733" w14:textId="77777777" w:rsidR="005B4C21" w:rsidRDefault="005B4C21" w:rsidP="005B4C21">
      <w:pPr>
        <w:tabs>
          <w:tab w:val="left" w:pos="7938"/>
        </w:tabs>
        <w:rPr>
          <w:rFonts w:ascii="Arial" w:hAnsi="Arial" w:cs="Arial"/>
          <w:sz w:val="28"/>
          <w:szCs w:val="28"/>
        </w:rPr>
      </w:pPr>
    </w:p>
    <w:p w14:paraId="2B6EB2A9" w14:textId="7B6B5168" w:rsidR="005B4C21" w:rsidRDefault="005B4C21" w:rsidP="005B4C21">
      <w:pPr>
        <w:tabs>
          <w:tab w:val="left" w:pos="7938"/>
        </w:tabs>
        <w:rPr>
          <w:rFonts w:ascii="Arial" w:hAnsi="Arial" w:cs="Arial"/>
          <w:sz w:val="28"/>
          <w:szCs w:val="28"/>
        </w:rPr>
      </w:pPr>
      <w:r>
        <w:rPr>
          <w:rFonts w:ascii="Arial" w:hAnsi="Arial" w:cs="Arial"/>
          <w:sz w:val="28"/>
          <w:szCs w:val="28"/>
        </w:rPr>
        <w:t>Section 6 Efficiency Statement</w:t>
      </w:r>
      <w:r>
        <w:rPr>
          <w:rFonts w:ascii="Arial" w:hAnsi="Arial" w:cs="Arial"/>
          <w:sz w:val="28"/>
          <w:szCs w:val="28"/>
        </w:rPr>
        <w:tab/>
        <w:t xml:space="preserve">Page </w:t>
      </w:r>
      <w:r w:rsidR="00D5245F">
        <w:rPr>
          <w:rFonts w:ascii="Arial" w:hAnsi="Arial" w:cs="Arial"/>
          <w:sz w:val="28"/>
          <w:szCs w:val="28"/>
        </w:rPr>
        <w:t>9</w:t>
      </w:r>
    </w:p>
    <w:p w14:paraId="3D18D394" w14:textId="246ECD95" w:rsidR="005B4C21" w:rsidRDefault="005B4C21" w:rsidP="005B4C21">
      <w:pPr>
        <w:tabs>
          <w:tab w:val="left" w:pos="7938"/>
          <w:tab w:val="left" w:pos="8203"/>
        </w:tabs>
        <w:rPr>
          <w:rFonts w:ascii="Arial" w:hAnsi="Arial" w:cs="Arial"/>
          <w:sz w:val="28"/>
          <w:szCs w:val="28"/>
        </w:rPr>
      </w:pPr>
    </w:p>
    <w:p w14:paraId="49D1A2D9" w14:textId="77777777" w:rsidR="005B4C21" w:rsidRDefault="005B4C21" w:rsidP="005B4C21">
      <w:pPr>
        <w:tabs>
          <w:tab w:val="left" w:pos="7938"/>
          <w:tab w:val="left" w:pos="8203"/>
        </w:tabs>
        <w:rPr>
          <w:rFonts w:ascii="Arial" w:hAnsi="Arial" w:cs="Arial"/>
          <w:sz w:val="28"/>
          <w:szCs w:val="28"/>
        </w:rPr>
      </w:pPr>
    </w:p>
    <w:p w14:paraId="725DCEA6" w14:textId="304960DA" w:rsidR="005B4C21" w:rsidRPr="005B4C21" w:rsidRDefault="005B4C21" w:rsidP="005B4C21">
      <w:pPr>
        <w:spacing w:after="160" w:line="259" w:lineRule="auto"/>
        <w:rPr>
          <w:rFonts w:ascii="Arial" w:hAnsi="Arial" w:cs="Arial"/>
          <w:sz w:val="28"/>
          <w:szCs w:val="28"/>
        </w:rPr>
      </w:pPr>
      <w:r>
        <w:rPr>
          <w:rFonts w:cs="Arial"/>
          <w:b/>
          <w:sz w:val="28"/>
          <w:szCs w:val="28"/>
        </w:rPr>
        <w:br w:type="page"/>
      </w:r>
    </w:p>
    <w:p w14:paraId="2A2F78C7" w14:textId="5BD41606" w:rsidR="00ED4203" w:rsidRPr="00E90651" w:rsidRDefault="00E90651">
      <w:pPr>
        <w:rPr>
          <w:sz w:val="32"/>
          <w:szCs w:val="32"/>
        </w:rPr>
      </w:pPr>
      <w:r w:rsidRPr="00E90651">
        <w:rPr>
          <w:b/>
          <w:sz w:val="32"/>
          <w:szCs w:val="32"/>
        </w:rPr>
        <w:lastRenderedPageBreak/>
        <w:t>sport</w:t>
      </w:r>
      <w:r w:rsidRPr="00E90651">
        <w:rPr>
          <w:sz w:val="32"/>
          <w:szCs w:val="32"/>
        </w:rPr>
        <w:t>scotland</w:t>
      </w:r>
    </w:p>
    <w:p w14:paraId="00AD0CE6" w14:textId="4CDD626B" w:rsidR="00E90651" w:rsidRPr="006A6997" w:rsidRDefault="00E90651">
      <w:pPr>
        <w:rPr>
          <w:sz w:val="32"/>
          <w:szCs w:val="32"/>
        </w:rPr>
      </w:pPr>
      <w:r w:rsidRPr="00E90651">
        <w:rPr>
          <w:sz w:val="32"/>
          <w:szCs w:val="32"/>
        </w:rPr>
        <w:t>Public Service Reform (Scotlan</w:t>
      </w:r>
      <w:r w:rsidR="006A6997">
        <w:rPr>
          <w:sz w:val="32"/>
          <w:szCs w:val="32"/>
        </w:rPr>
        <w:t>d) Act 2010 Disclosures 20</w:t>
      </w:r>
      <w:r w:rsidR="00CB3177">
        <w:rPr>
          <w:sz w:val="32"/>
          <w:szCs w:val="32"/>
        </w:rPr>
        <w:t>2</w:t>
      </w:r>
      <w:r w:rsidR="00D75A8C">
        <w:rPr>
          <w:sz w:val="32"/>
          <w:szCs w:val="32"/>
        </w:rPr>
        <w:t>3</w:t>
      </w:r>
      <w:r w:rsidR="00BF4BFD">
        <w:rPr>
          <w:sz w:val="32"/>
          <w:szCs w:val="32"/>
        </w:rPr>
        <w:t>-2</w:t>
      </w:r>
      <w:r w:rsidR="00D75A8C">
        <w:rPr>
          <w:sz w:val="32"/>
          <w:szCs w:val="32"/>
        </w:rPr>
        <w:t>4</w:t>
      </w:r>
    </w:p>
    <w:p w14:paraId="09D49439" w14:textId="77777777" w:rsidR="00E90651" w:rsidRPr="00B47C78" w:rsidRDefault="00E90651" w:rsidP="00E90651">
      <w:pPr>
        <w:pStyle w:val="ListParagraph"/>
        <w:numPr>
          <w:ilvl w:val="0"/>
          <w:numId w:val="1"/>
        </w:numPr>
        <w:rPr>
          <w:b/>
        </w:rPr>
      </w:pPr>
      <w:r w:rsidRPr="00B47C78">
        <w:rPr>
          <w:b/>
        </w:rPr>
        <w:t>Introduction</w:t>
      </w:r>
    </w:p>
    <w:p w14:paraId="3B46F8D2" w14:textId="77777777" w:rsidR="00E90651" w:rsidRDefault="00E90651" w:rsidP="00E90651">
      <w:pPr>
        <w:pStyle w:val="ListParagraph"/>
      </w:pPr>
    </w:p>
    <w:p w14:paraId="2CC4526A" w14:textId="77777777" w:rsidR="00E90651" w:rsidRDefault="00E90651" w:rsidP="00806012">
      <w:pPr>
        <w:pStyle w:val="ListParagraph"/>
        <w:numPr>
          <w:ilvl w:val="1"/>
          <w:numId w:val="1"/>
        </w:numPr>
        <w:jc w:val="both"/>
      </w:pPr>
      <w:r>
        <w:t>The Public Services Reform (Scotland) Act 2010 introduced duties to publish information for public bodies in Scotland.</w:t>
      </w:r>
    </w:p>
    <w:p w14:paraId="73EAA75D" w14:textId="77777777" w:rsidR="003F1246" w:rsidRDefault="003F1246" w:rsidP="003F1246">
      <w:pPr>
        <w:pStyle w:val="ListParagraph"/>
        <w:ind w:left="735"/>
        <w:jc w:val="both"/>
      </w:pPr>
    </w:p>
    <w:p w14:paraId="029A7EA2" w14:textId="1862EFD7" w:rsidR="00E90651" w:rsidRDefault="00E90651" w:rsidP="00806012">
      <w:pPr>
        <w:pStyle w:val="ListParagraph"/>
        <w:numPr>
          <w:ilvl w:val="1"/>
          <w:numId w:val="1"/>
        </w:numPr>
        <w:jc w:val="both"/>
      </w:pPr>
      <w:r>
        <w:t xml:space="preserve">This report summarises the information required to be disclosed by the Act in relation to </w:t>
      </w:r>
      <w:r w:rsidRPr="00E90651">
        <w:rPr>
          <w:b/>
        </w:rPr>
        <w:t>sport</w:t>
      </w:r>
      <w:r>
        <w:t xml:space="preserve">scotland and the </w:t>
      </w:r>
      <w:r w:rsidRPr="00E90651">
        <w:rPr>
          <w:b/>
        </w:rPr>
        <w:t>sport</w:t>
      </w:r>
      <w:r>
        <w:t>scotland National Lottery Distribution Fund for the financial year ended 31 March 20</w:t>
      </w:r>
      <w:r w:rsidR="00BF4BFD">
        <w:t>2</w:t>
      </w:r>
      <w:r w:rsidR="0020347C">
        <w:t>5</w:t>
      </w:r>
      <w:r w:rsidR="00BF4BFD">
        <w:t>.</w:t>
      </w:r>
    </w:p>
    <w:p w14:paraId="7BF8C352" w14:textId="77777777" w:rsidR="00E90651" w:rsidRDefault="00E90651" w:rsidP="00E90651">
      <w:pPr>
        <w:pStyle w:val="ListParagraph"/>
      </w:pPr>
    </w:p>
    <w:p w14:paraId="116A2305" w14:textId="77777777" w:rsidR="00E90651" w:rsidRPr="00B47C78" w:rsidRDefault="00E90651" w:rsidP="00E90651">
      <w:pPr>
        <w:pStyle w:val="ListParagraph"/>
        <w:numPr>
          <w:ilvl w:val="0"/>
          <w:numId w:val="1"/>
        </w:numPr>
        <w:rPr>
          <w:b/>
        </w:rPr>
      </w:pPr>
      <w:r w:rsidRPr="00B47C78">
        <w:rPr>
          <w:b/>
        </w:rPr>
        <w:t>Disclosures</w:t>
      </w:r>
    </w:p>
    <w:tbl>
      <w:tblPr>
        <w:tblStyle w:val="TableGrid"/>
        <w:tblW w:w="0" w:type="auto"/>
        <w:tblLook w:val="04A0" w:firstRow="1" w:lastRow="0" w:firstColumn="1" w:lastColumn="0" w:noHBand="0" w:noVBand="1"/>
      </w:tblPr>
      <w:tblGrid>
        <w:gridCol w:w="1795"/>
        <w:gridCol w:w="2365"/>
        <w:gridCol w:w="4856"/>
      </w:tblGrid>
      <w:tr w:rsidR="00E90651" w:rsidRPr="00B47C78" w14:paraId="1E2E0514" w14:textId="77777777" w:rsidTr="00811674">
        <w:trPr>
          <w:trHeight w:val="433"/>
        </w:trPr>
        <w:tc>
          <w:tcPr>
            <w:tcW w:w="1809" w:type="dxa"/>
            <w:shd w:val="clear" w:color="auto" w:fill="DBE5F1" w:themeFill="accent1" w:themeFillTint="33"/>
          </w:tcPr>
          <w:p w14:paraId="2FCE3562" w14:textId="77777777" w:rsidR="00E90651" w:rsidRPr="00B47C78" w:rsidRDefault="00E90651" w:rsidP="00EB0B2A">
            <w:pPr>
              <w:jc w:val="center"/>
              <w:rPr>
                <w:b/>
              </w:rPr>
            </w:pPr>
            <w:r w:rsidRPr="00B47C78">
              <w:rPr>
                <w:b/>
              </w:rPr>
              <w:t>Category</w:t>
            </w:r>
          </w:p>
        </w:tc>
        <w:tc>
          <w:tcPr>
            <w:tcW w:w="2410" w:type="dxa"/>
            <w:shd w:val="clear" w:color="auto" w:fill="DBE5F1" w:themeFill="accent1" w:themeFillTint="33"/>
          </w:tcPr>
          <w:p w14:paraId="14E2BDC8" w14:textId="735F23A4" w:rsidR="00E90651" w:rsidRPr="00B47C78" w:rsidRDefault="00E90651" w:rsidP="00EB0B2A">
            <w:pPr>
              <w:jc w:val="center"/>
              <w:rPr>
                <w:b/>
                <w:bCs/>
              </w:rPr>
            </w:pPr>
            <w:r w:rsidRPr="50A2A37C">
              <w:rPr>
                <w:b/>
                <w:bCs/>
              </w:rPr>
              <w:t>Expenditure 20</w:t>
            </w:r>
            <w:r w:rsidR="0020347C">
              <w:rPr>
                <w:b/>
                <w:bCs/>
              </w:rPr>
              <w:t>24/25</w:t>
            </w:r>
          </w:p>
        </w:tc>
        <w:tc>
          <w:tcPr>
            <w:tcW w:w="5023" w:type="dxa"/>
            <w:shd w:val="clear" w:color="auto" w:fill="DBE5F1" w:themeFill="accent1" w:themeFillTint="33"/>
          </w:tcPr>
          <w:p w14:paraId="59975894" w14:textId="77777777" w:rsidR="00E90651" w:rsidRPr="00B47C78" w:rsidRDefault="00E90651" w:rsidP="00EB0B2A">
            <w:pPr>
              <w:jc w:val="center"/>
              <w:rPr>
                <w:b/>
              </w:rPr>
            </w:pPr>
            <w:r w:rsidRPr="00B47C78">
              <w:rPr>
                <w:b/>
              </w:rPr>
              <w:t>Comments</w:t>
            </w:r>
          </w:p>
        </w:tc>
      </w:tr>
      <w:tr w:rsidR="00E90651" w14:paraId="462BBD80" w14:textId="77777777" w:rsidTr="50A2A37C">
        <w:tc>
          <w:tcPr>
            <w:tcW w:w="1809" w:type="dxa"/>
          </w:tcPr>
          <w:p w14:paraId="6685858A" w14:textId="77777777" w:rsidR="00E90651" w:rsidRDefault="00E90651" w:rsidP="00E90651">
            <w:r>
              <w:t>Public relations</w:t>
            </w:r>
          </w:p>
        </w:tc>
        <w:tc>
          <w:tcPr>
            <w:tcW w:w="2410" w:type="dxa"/>
          </w:tcPr>
          <w:p w14:paraId="6C0DF890" w14:textId="716F3114" w:rsidR="00EB0B2A" w:rsidRDefault="00E90651" w:rsidP="00E90651">
            <w:r w:rsidRPr="000248C2">
              <w:t>Total staff costs</w:t>
            </w:r>
            <w:r w:rsidR="00EB0B2A">
              <w:t xml:space="preserve">: </w:t>
            </w:r>
            <w:r w:rsidR="00D6604A" w:rsidRPr="00494D6F">
              <w:t>£</w:t>
            </w:r>
            <w:r w:rsidR="009B0EFE">
              <w:t>161</w:t>
            </w:r>
            <w:r w:rsidR="00D6604A" w:rsidRPr="0011268C">
              <w:t xml:space="preserve">k </w:t>
            </w:r>
          </w:p>
          <w:p w14:paraId="25BE5D7D" w14:textId="77777777" w:rsidR="00EB0B2A" w:rsidRDefault="00EB0B2A" w:rsidP="00E90651"/>
          <w:p w14:paraId="3E48306E" w14:textId="439607AA" w:rsidR="00E90651" w:rsidRPr="00FA4B6B" w:rsidRDefault="00D6604A" w:rsidP="00E90651">
            <w:pPr>
              <w:rPr>
                <w:highlight w:val="yellow"/>
              </w:rPr>
            </w:pPr>
            <w:r w:rsidRPr="0011268C">
              <w:t>(of which £</w:t>
            </w:r>
            <w:r w:rsidR="009C61E4">
              <w:t>134</w:t>
            </w:r>
            <w:r w:rsidRPr="0011268C">
              <w:t>k is salaries and £</w:t>
            </w:r>
            <w:r w:rsidR="009C61E4">
              <w:t>27</w:t>
            </w:r>
            <w:r w:rsidRPr="0011268C">
              <w:t>k</w:t>
            </w:r>
            <w:r w:rsidR="00E90651" w:rsidRPr="0011268C">
              <w:t xml:space="preserve"> is on</w:t>
            </w:r>
            <w:r w:rsidR="00E97562" w:rsidRPr="0011268C">
              <w:t>-</w:t>
            </w:r>
            <w:r w:rsidR="00E90651" w:rsidRPr="0011268C">
              <w:t>costs</w:t>
            </w:r>
            <w:r w:rsidRPr="0011268C">
              <w:t>)</w:t>
            </w:r>
          </w:p>
          <w:p w14:paraId="7276C32D" w14:textId="77777777" w:rsidR="00E90651" w:rsidRPr="00FA4B6B" w:rsidRDefault="00E90651" w:rsidP="00E90651">
            <w:pPr>
              <w:rPr>
                <w:highlight w:val="yellow"/>
              </w:rPr>
            </w:pPr>
          </w:p>
          <w:p w14:paraId="512A7FAC" w14:textId="54981519" w:rsidR="00E90651" w:rsidRPr="004D2048" w:rsidRDefault="00D6604A" w:rsidP="00E90651">
            <w:r w:rsidRPr="009B2DCE">
              <w:t>External costs = £</w:t>
            </w:r>
            <w:r w:rsidR="0023415C">
              <w:t>16</w:t>
            </w:r>
            <w:r w:rsidR="003E6A59" w:rsidRPr="009B2DCE">
              <w:t>k</w:t>
            </w:r>
          </w:p>
          <w:p w14:paraId="6670B9BB" w14:textId="77777777" w:rsidR="00E90651" w:rsidRPr="004D2048" w:rsidRDefault="00E90651" w:rsidP="00E90651"/>
          <w:p w14:paraId="0D922962" w14:textId="77777777" w:rsidR="00E90651" w:rsidRPr="004D2048" w:rsidRDefault="00E90651" w:rsidP="00E90651"/>
        </w:tc>
        <w:tc>
          <w:tcPr>
            <w:tcW w:w="5023" w:type="dxa"/>
          </w:tcPr>
          <w:p w14:paraId="2A3ACA45" w14:textId="04D761ED" w:rsidR="00E90651" w:rsidRDefault="00E90651" w:rsidP="00E90651">
            <w:r w:rsidRPr="004D2048">
              <w:t>On</w:t>
            </w:r>
            <w:r w:rsidR="00661776">
              <w:t>-</w:t>
            </w:r>
            <w:r w:rsidRPr="004D2048">
              <w:t>costs relate to employer’s national insurance and employer’s pension contributions.</w:t>
            </w:r>
          </w:p>
          <w:p w14:paraId="16694780" w14:textId="77777777" w:rsidR="00F5077C" w:rsidRPr="004D2048" w:rsidRDefault="00F5077C" w:rsidP="00E90651"/>
          <w:p w14:paraId="257A48D2" w14:textId="0B2DCCC4" w:rsidR="00E90651" w:rsidRDefault="00E90651" w:rsidP="00E90651">
            <w:r w:rsidRPr="004D2048">
              <w:t xml:space="preserve">External costs for the public relations category </w:t>
            </w:r>
            <w:r w:rsidR="00661776" w:rsidRPr="004D2048">
              <w:t>include</w:t>
            </w:r>
            <w:r w:rsidRPr="004D2048">
              <w:t xml:space="preserve"> expenditure on media relations and PR.</w:t>
            </w:r>
          </w:p>
          <w:p w14:paraId="5850862B" w14:textId="77777777" w:rsidR="00F5077C" w:rsidRPr="004D2048" w:rsidRDefault="00F5077C" w:rsidP="00E90651"/>
          <w:p w14:paraId="43BF5776" w14:textId="77777777" w:rsidR="00E90651" w:rsidRDefault="00E90651" w:rsidP="00E90651">
            <w:r w:rsidRPr="004D2048">
              <w:t xml:space="preserve">This activity is aimed at helping </w:t>
            </w:r>
            <w:r w:rsidRPr="48F06CD5">
              <w:rPr>
                <w:b/>
                <w:bCs/>
              </w:rPr>
              <w:t>sport</w:t>
            </w:r>
            <w:r w:rsidRPr="004D2048">
              <w:t xml:space="preserve">scotland to fulfil its role in developing and promoting a world class sporting system in Scotland, raising awareness of achievements in sport from grassroots to high performance and sharing information effectively on the work of </w:t>
            </w:r>
            <w:r w:rsidRPr="48F06CD5">
              <w:rPr>
                <w:b/>
                <w:bCs/>
              </w:rPr>
              <w:t>sport</w:t>
            </w:r>
            <w:r w:rsidRPr="004D2048">
              <w:t>scotland.</w:t>
            </w:r>
          </w:p>
          <w:p w14:paraId="7A205A0E" w14:textId="60309B36" w:rsidR="00F5077C" w:rsidRPr="004D2048" w:rsidRDefault="00F5077C" w:rsidP="00E90651"/>
        </w:tc>
      </w:tr>
      <w:tr w:rsidR="00E90651" w14:paraId="709E4118" w14:textId="77777777" w:rsidTr="50A2A37C">
        <w:tc>
          <w:tcPr>
            <w:tcW w:w="1809" w:type="dxa"/>
          </w:tcPr>
          <w:p w14:paraId="1711BF6E" w14:textId="77777777" w:rsidR="00E90651" w:rsidRDefault="00E90651" w:rsidP="00E90651">
            <w:r>
              <w:t>Overseas travel</w:t>
            </w:r>
          </w:p>
        </w:tc>
        <w:tc>
          <w:tcPr>
            <w:tcW w:w="2410" w:type="dxa"/>
          </w:tcPr>
          <w:p w14:paraId="1EE98FF7" w14:textId="19FBDF11" w:rsidR="00E90651" w:rsidRPr="005B4C21" w:rsidRDefault="00D6604A" w:rsidP="00E90651">
            <w:r w:rsidRPr="005B1DFF">
              <w:t>£</w:t>
            </w:r>
            <w:r w:rsidR="00DF034D">
              <w:t>81</w:t>
            </w:r>
            <w:r w:rsidR="004C05A1">
              <w:t>k</w:t>
            </w:r>
          </w:p>
        </w:tc>
        <w:tc>
          <w:tcPr>
            <w:tcW w:w="5023" w:type="dxa"/>
          </w:tcPr>
          <w:p w14:paraId="6ABC986E" w14:textId="77777777" w:rsidR="00B47C78" w:rsidRDefault="00E90651" w:rsidP="00E90651">
            <w:r w:rsidRPr="005B4C21">
              <w:t>As part of our role</w:t>
            </w:r>
            <w:r w:rsidR="00B47C78" w:rsidRPr="005B4C21">
              <w:t xml:space="preserve"> in promoting and supporting the world class sporting system in Scotland, there is </w:t>
            </w:r>
            <w:r w:rsidR="00823389">
              <w:t xml:space="preserve">sometimes </w:t>
            </w:r>
            <w:r w:rsidR="00B47C78" w:rsidRPr="005B4C21">
              <w:t xml:space="preserve">a requirement for </w:t>
            </w:r>
            <w:r w:rsidR="00B47C78" w:rsidRPr="004F42EE">
              <w:rPr>
                <w:b/>
                <w:bCs/>
              </w:rPr>
              <w:t>sport</w:t>
            </w:r>
            <w:r w:rsidR="00B47C78" w:rsidRPr="005B4C21">
              <w:t>scotland staff to travel overseas in support of key international competitions and training events.</w:t>
            </w:r>
          </w:p>
          <w:p w14:paraId="46D1906B" w14:textId="019FCE5E" w:rsidR="00F5077C" w:rsidRPr="005B4C21" w:rsidRDefault="00F5077C" w:rsidP="00E90651"/>
        </w:tc>
      </w:tr>
      <w:tr w:rsidR="00E90651" w14:paraId="44543D7D" w14:textId="77777777" w:rsidTr="50A2A37C">
        <w:tc>
          <w:tcPr>
            <w:tcW w:w="1809" w:type="dxa"/>
          </w:tcPr>
          <w:p w14:paraId="0234346D" w14:textId="759B604E" w:rsidR="00E90651" w:rsidRDefault="00B47C78" w:rsidP="00E90651">
            <w:r>
              <w:t>Hospitality and entertainment</w:t>
            </w:r>
          </w:p>
        </w:tc>
        <w:tc>
          <w:tcPr>
            <w:tcW w:w="2410" w:type="dxa"/>
          </w:tcPr>
          <w:p w14:paraId="7909B294" w14:textId="7F1F1F5F" w:rsidR="00B47C78" w:rsidRDefault="00B47C78" w:rsidP="00E90651">
            <w:r w:rsidRPr="48F06CD5">
              <w:rPr>
                <w:b/>
                <w:bCs/>
              </w:rPr>
              <w:t>sport</w:t>
            </w:r>
            <w:r w:rsidR="00D6604A" w:rsidRPr="004D2048">
              <w:t>scotland staff expenses = nil</w:t>
            </w:r>
          </w:p>
          <w:p w14:paraId="5638B93B" w14:textId="4C1FBFB0" w:rsidR="00F5077C" w:rsidRPr="006202C7" w:rsidRDefault="00F5077C" w:rsidP="00E90651"/>
        </w:tc>
        <w:tc>
          <w:tcPr>
            <w:tcW w:w="5023" w:type="dxa"/>
          </w:tcPr>
          <w:p w14:paraId="5926E60C" w14:textId="0E45AF17" w:rsidR="00E90651" w:rsidRPr="00CF73C5" w:rsidRDefault="00E90651" w:rsidP="00E90651">
            <w:pPr>
              <w:rPr>
                <w:highlight w:val="yellow"/>
              </w:rPr>
            </w:pPr>
          </w:p>
        </w:tc>
      </w:tr>
      <w:tr w:rsidR="00E90651" w14:paraId="1FF87383" w14:textId="77777777" w:rsidTr="50A2A37C">
        <w:tc>
          <w:tcPr>
            <w:tcW w:w="1809" w:type="dxa"/>
          </w:tcPr>
          <w:p w14:paraId="6EC7CA29" w14:textId="77777777" w:rsidR="00E90651" w:rsidRDefault="00B47C78" w:rsidP="00E90651">
            <w:r>
              <w:t>External consultancy</w:t>
            </w:r>
          </w:p>
          <w:p w14:paraId="01A37A5D" w14:textId="77777777" w:rsidR="00B47C78" w:rsidRDefault="00B47C78" w:rsidP="00E90651"/>
        </w:tc>
        <w:tc>
          <w:tcPr>
            <w:tcW w:w="2410" w:type="dxa"/>
          </w:tcPr>
          <w:p w14:paraId="7799F1D0" w14:textId="721B1178" w:rsidR="00E90651" w:rsidRPr="004D2048" w:rsidRDefault="00D6604A" w:rsidP="00E90651">
            <w:r w:rsidRPr="00D76A61">
              <w:t>£</w:t>
            </w:r>
            <w:r w:rsidR="00313E43">
              <w:t>278</w:t>
            </w:r>
            <w:r w:rsidRPr="00D76A61">
              <w:t>k</w:t>
            </w:r>
          </w:p>
        </w:tc>
        <w:tc>
          <w:tcPr>
            <w:tcW w:w="5023" w:type="dxa"/>
          </w:tcPr>
          <w:p w14:paraId="57137190" w14:textId="24BAEC9F" w:rsidR="008901DB" w:rsidRPr="00C36018" w:rsidRDefault="00D6604A" w:rsidP="00645D6F">
            <w:r w:rsidRPr="008C610E">
              <w:t>The main area</w:t>
            </w:r>
            <w:r w:rsidR="00B47C78" w:rsidRPr="008C610E">
              <w:t xml:space="preserve"> of consulta</w:t>
            </w:r>
            <w:r w:rsidR="00C6495A" w:rsidRPr="008C610E">
              <w:t>ncy expenditure in 20</w:t>
            </w:r>
            <w:r w:rsidR="003B0D84">
              <w:t>2</w:t>
            </w:r>
            <w:r w:rsidR="00313E43">
              <w:t>4</w:t>
            </w:r>
            <w:r w:rsidR="003B0D84">
              <w:t>-2</w:t>
            </w:r>
            <w:r w:rsidR="00313E43">
              <w:t>5</w:t>
            </w:r>
            <w:r w:rsidR="00C6495A" w:rsidRPr="008C610E">
              <w:t xml:space="preserve"> </w:t>
            </w:r>
            <w:r w:rsidRPr="008C610E">
              <w:t>was</w:t>
            </w:r>
            <w:r w:rsidR="00F35175">
              <w:t xml:space="preserve"> </w:t>
            </w:r>
            <w:r w:rsidR="00A05D7E">
              <w:t xml:space="preserve">in relation to the disposal of </w:t>
            </w:r>
            <w:r w:rsidR="00B34390">
              <w:t>Caledonia House</w:t>
            </w:r>
            <w:r w:rsidR="00A05D7E">
              <w:t xml:space="preserve"> and strategic review of internal sportscotland workforce</w:t>
            </w:r>
            <w:r w:rsidR="008901DB">
              <w:t>.</w:t>
            </w:r>
          </w:p>
        </w:tc>
      </w:tr>
    </w:tbl>
    <w:p w14:paraId="3C22A008" w14:textId="77777777" w:rsidR="00866DC8" w:rsidRDefault="00866DC8">
      <w:pPr>
        <w:rPr>
          <w:b/>
        </w:rPr>
      </w:pPr>
    </w:p>
    <w:p w14:paraId="6E73E8E4" w14:textId="77777777" w:rsidR="00A05D7E" w:rsidRDefault="00A05D7E">
      <w:pPr>
        <w:rPr>
          <w:b/>
        </w:rPr>
      </w:pPr>
    </w:p>
    <w:p w14:paraId="5F1DE8C0" w14:textId="77777777" w:rsidR="00A05D7E" w:rsidRDefault="00A05D7E">
      <w:pPr>
        <w:rPr>
          <w:b/>
        </w:rPr>
      </w:pPr>
    </w:p>
    <w:p w14:paraId="17E3D8A6" w14:textId="0A6130E2" w:rsidR="00B47C78" w:rsidRPr="006630F4" w:rsidRDefault="009405C4" w:rsidP="009405C4">
      <w:pPr>
        <w:pStyle w:val="ListParagraph"/>
        <w:numPr>
          <w:ilvl w:val="0"/>
          <w:numId w:val="1"/>
        </w:numPr>
        <w:rPr>
          <w:b/>
        </w:rPr>
      </w:pPr>
      <w:r w:rsidRPr="006630F4">
        <w:rPr>
          <w:b/>
        </w:rPr>
        <w:lastRenderedPageBreak/>
        <w:t>Payments in excess of £25,000</w:t>
      </w:r>
    </w:p>
    <w:p w14:paraId="226ABEF5" w14:textId="77777777" w:rsidR="009405C4" w:rsidRDefault="009405C4" w:rsidP="009405C4">
      <w:pPr>
        <w:pStyle w:val="ListParagraph"/>
      </w:pPr>
    </w:p>
    <w:p w14:paraId="7B4C197A" w14:textId="373DDA8B" w:rsidR="00806012" w:rsidRPr="005B4C21" w:rsidRDefault="006630F4" w:rsidP="009414AE">
      <w:pPr>
        <w:pStyle w:val="ListParagraph"/>
        <w:numPr>
          <w:ilvl w:val="1"/>
          <w:numId w:val="1"/>
        </w:numPr>
      </w:pPr>
      <w:r>
        <w:t>Payments i</w:t>
      </w:r>
      <w:r w:rsidR="009405C4">
        <w:t>n excess of £25,000 can be found at</w:t>
      </w:r>
      <w:r w:rsidR="00C73AAE">
        <w:t>:</w:t>
      </w:r>
      <w:r w:rsidR="003B0D84">
        <w:t xml:space="preserve"> </w:t>
      </w:r>
      <w:hyperlink r:id="rId14" w:history="1">
        <w:r w:rsidR="00C73AAE">
          <w:rPr>
            <w:rStyle w:val="Hyperlink"/>
          </w:rPr>
          <w:t>Public Services Reform (Scotland) Act 2010 (sportscotland.org.uk)</w:t>
        </w:r>
      </w:hyperlink>
    </w:p>
    <w:p w14:paraId="11A948BF" w14:textId="77777777" w:rsidR="005B4C21" w:rsidRPr="009414AE" w:rsidRDefault="005B4C21" w:rsidP="005B4C21">
      <w:pPr>
        <w:ind w:left="360"/>
      </w:pPr>
    </w:p>
    <w:p w14:paraId="4051D1DC" w14:textId="21E22257" w:rsidR="006630F4" w:rsidRPr="00BD67C3" w:rsidRDefault="006630F4" w:rsidP="006630F4">
      <w:pPr>
        <w:pStyle w:val="ListParagraph"/>
        <w:numPr>
          <w:ilvl w:val="0"/>
          <w:numId w:val="1"/>
        </w:numPr>
        <w:rPr>
          <w:b/>
        </w:rPr>
      </w:pPr>
      <w:r w:rsidRPr="00BD67C3">
        <w:rPr>
          <w:b/>
        </w:rPr>
        <w:t>Staff earning over £150,000</w:t>
      </w:r>
    </w:p>
    <w:p w14:paraId="66E2438F" w14:textId="77777777" w:rsidR="00BD67C3" w:rsidRDefault="00BD67C3" w:rsidP="00BD67C3">
      <w:pPr>
        <w:pStyle w:val="ListParagraph"/>
      </w:pPr>
    </w:p>
    <w:p w14:paraId="2456F419" w14:textId="06B2A313" w:rsidR="006630F4" w:rsidRDefault="006630F4" w:rsidP="006630F4">
      <w:pPr>
        <w:pStyle w:val="ListParagraph"/>
        <w:numPr>
          <w:ilvl w:val="1"/>
          <w:numId w:val="1"/>
        </w:numPr>
      </w:pPr>
      <w:r>
        <w:t>No employee earned over £150,000 in the year ended 31 March 20</w:t>
      </w:r>
      <w:r w:rsidR="00863EF9">
        <w:t>2</w:t>
      </w:r>
      <w:r w:rsidR="00A05D7E">
        <w:t>5</w:t>
      </w:r>
      <w:r>
        <w:t>.</w:t>
      </w:r>
    </w:p>
    <w:p w14:paraId="1C97D54D" w14:textId="77777777" w:rsidR="00852B6B" w:rsidRDefault="00852B6B" w:rsidP="00852B6B">
      <w:pPr>
        <w:pStyle w:val="ListParagraph"/>
        <w:ind w:left="735"/>
      </w:pPr>
    </w:p>
    <w:p w14:paraId="3FB95018" w14:textId="02A05534" w:rsidR="006630F4" w:rsidRDefault="00BD67C3" w:rsidP="00806012">
      <w:pPr>
        <w:pStyle w:val="ListParagraph"/>
        <w:numPr>
          <w:ilvl w:val="1"/>
          <w:numId w:val="1"/>
        </w:numPr>
        <w:jc w:val="both"/>
      </w:pPr>
      <w:r>
        <w:t>Details of the remuneration for senior staff and board members can be found in the Remuneration Report published in the Annual Report and Financial statements for the year ended 31 March 20</w:t>
      </w:r>
      <w:r w:rsidR="00F35175">
        <w:t>2</w:t>
      </w:r>
      <w:r w:rsidR="00A05D7E">
        <w:t>5</w:t>
      </w:r>
      <w:r>
        <w:t>.</w:t>
      </w:r>
    </w:p>
    <w:p w14:paraId="45173C64" w14:textId="77777777" w:rsidR="00BD67C3" w:rsidRDefault="00BD67C3" w:rsidP="00BD67C3"/>
    <w:p w14:paraId="51CC2C8E" w14:textId="50CC34ED" w:rsidR="00BD67C3" w:rsidRPr="007E57CD" w:rsidRDefault="00BD67C3" w:rsidP="00BD67C3">
      <w:pPr>
        <w:pStyle w:val="ListParagraph"/>
        <w:numPr>
          <w:ilvl w:val="0"/>
          <w:numId w:val="1"/>
        </w:numPr>
        <w:rPr>
          <w:b/>
        </w:rPr>
      </w:pPr>
      <w:r w:rsidRPr="007E57CD">
        <w:rPr>
          <w:b/>
        </w:rPr>
        <w:t>Statement on sustainable growth</w:t>
      </w:r>
    </w:p>
    <w:p w14:paraId="7886368A" w14:textId="77777777" w:rsidR="00BD67C3" w:rsidRPr="00BD67C3" w:rsidRDefault="00BD67C3" w:rsidP="00BD67C3">
      <w:pPr>
        <w:pStyle w:val="ListParagraph"/>
        <w:rPr>
          <w:b/>
        </w:rPr>
      </w:pPr>
    </w:p>
    <w:p w14:paraId="3E5ECD20" w14:textId="4337A833" w:rsidR="00BD67C3" w:rsidRDefault="00BD67C3" w:rsidP="00806012">
      <w:pPr>
        <w:pStyle w:val="ListParagraph"/>
        <w:numPr>
          <w:ilvl w:val="1"/>
          <w:numId w:val="1"/>
        </w:numPr>
        <w:jc w:val="both"/>
      </w:pPr>
      <w:r w:rsidRPr="00BD67C3">
        <w:rPr>
          <w:b/>
        </w:rPr>
        <w:t>sport</w:t>
      </w:r>
      <w:r>
        <w:t>scotland is committed to promoting and increasing sport development and activity through the exercise of its functions.  During the year ended 31 March 20</w:t>
      </w:r>
      <w:r w:rsidR="00F35175">
        <w:t>2</w:t>
      </w:r>
      <w:r w:rsidR="00A05D7E">
        <w:t>5</w:t>
      </w:r>
      <w:r>
        <w:t xml:space="preserve">, </w:t>
      </w:r>
      <w:r w:rsidRPr="00774A9D">
        <w:rPr>
          <w:b/>
        </w:rPr>
        <w:t>sport</w:t>
      </w:r>
      <w:r>
        <w:t xml:space="preserve">scotland invested more than </w:t>
      </w:r>
      <w:r w:rsidR="001A08BC" w:rsidRPr="00926CA2">
        <w:t>£</w:t>
      </w:r>
      <w:r w:rsidR="00731D5A">
        <w:t>68</w:t>
      </w:r>
      <w:r w:rsidR="001A08BC">
        <w:t xml:space="preserve"> million </w:t>
      </w:r>
      <w:r>
        <w:t>from both Scottish Government grant in aid and National Lottery funding, in Local Authorities, Sports Governing Bodies</w:t>
      </w:r>
      <w:r w:rsidR="00AB77BF">
        <w:t xml:space="preserve"> (“SGBs”</w:t>
      </w:r>
      <w:r w:rsidR="00C36018">
        <w:t>)</w:t>
      </w:r>
      <w:r>
        <w:t xml:space="preserve">, Community Sports Hubs and Sports Clubs, as well as in supporting athletes through the </w:t>
      </w:r>
      <w:r w:rsidR="00AB77BF" w:rsidRPr="00AB77BF">
        <w:rPr>
          <w:b/>
        </w:rPr>
        <w:t>sport</w:t>
      </w:r>
      <w:r w:rsidR="00AB77BF">
        <w:t>scotland</w:t>
      </w:r>
      <w:r>
        <w:t xml:space="preserve"> Institute of Sport. Significant amounts of this investment </w:t>
      </w:r>
      <w:r w:rsidR="00E371CA">
        <w:t xml:space="preserve">relate to </w:t>
      </w:r>
      <w:r w:rsidR="00CA36A2">
        <w:t>the</w:t>
      </w:r>
      <w:r>
        <w:t xml:space="preserve"> part or full funding of posts throughout the sporting system in Scotland, as well as funding for the development of sporting facilities.</w:t>
      </w:r>
    </w:p>
    <w:p w14:paraId="1457F4FF" w14:textId="77777777" w:rsidR="00956984" w:rsidRDefault="00956984" w:rsidP="00956984">
      <w:pPr>
        <w:pStyle w:val="ListParagraph"/>
        <w:ind w:left="735"/>
      </w:pPr>
    </w:p>
    <w:p w14:paraId="7FA56874" w14:textId="72B1E521" w:rsidR="00BD67C3" w:rsidRDefault="00BD67C3" w:rsidP="00BD67C3">
      <w:pPr>
        <w:pStyle w:val="ListParagraph"/>
        <w:numPr>
          <w:ilvl w:val="1"/>
          <w:numId w:val="1"/>
        </w:numPr>
      </w:pPr>
      <w:r>
        <w:t xml:space="preserve">Some examples of how </w:t>
      </w:r>
      <w:r w:rsidRPr="00BD67C3">
        <w:rPr>
          <w:b/>
        </w:rPr>
        <w:t>sport</w:t>
      </w:r>
      <w:r>
        <w:t>scotland supports sustainable growth include:</w:t>
      </w:r>
    </w:p>
    <w:p w14:paraId="7003EFE2" w14:textId="77777777" w:rsidR="00BD67C3" w:rsidRDefault="00BD67C3" w:rsidP="00BD67C3">
      <w:pPr>
        <w:pStyle w:val="ListParagraph"/>
        <w:ind w:left="735"/>
      </w:pPr>
    </w:p>
    <w:p w14:paraId="7108F455" w14:textId="77777777" w:rsidR="00B455B0" w:rsidRDefault="00B455B0" w:rsidP="00B455B0">
      <w:pPr>
        <w:pStyle w:val="Heading5"/>
        <w:ind w:left="567"/>
        <w:rPr>
          <w:rFonts w:asciiTheme="minorHAnsi" w:eastAsiaTheme="minorHAnsi" w:hAnsiTheme="minorHAnsi" w:cs="Arial"/>
          <w:bCs/>
          <w:sz w:val="22"/>
          <w:szCs w:val="23"/>
        </w:rPr>
      </w:pPr>
      <w:r w:rsidRPr="00D5245F">
        <w:rPr>
          <w:rFonts w:asciiTheme="minorHAnsi" w:eastAsiaTheme="minorHAnsi" w:hAnsiTheme="minorHAnsi" w:cs="Arial"/>
          <w:bCs/>
          <w:sz w:val="22"/>
          <w:szCs w:val="23"/>
        </w:rPr>
        <w:t>Clubs and communities</w:t>
      </w:r>
    </w:p>
    <w:p w14:paraId="6BC6BCBC" w14:textId="77777777" w:rsidR="00FD2A6E" w:rsidRPr="00FD2A6E" w:rsidRDefault="00FD2A6E" w:rsidP="00FD2A6E">
      <w:pPr>
        <w:pStyle w:val="NormalIndent"/>
      </w:pPr>
    </w:p>
    <w:p w14:paraId="01886A66" w14:textId="1804A5D6" w:rsidR="00D5245F" w:rsidRDefault="00E67083" w:rsidP="00D5245F">
      <w:pPr>
        <w:ind w:left="567"/>
        <w:rPr>
          <w:rFonts w:cs="Arial"/>
          <w:szCs w:val="23"/>
        </w:rPr>
      </w:pPr>
      <w:r w:rsidRPr="00264955">
        <w:rPr>
          <w:rFonts w:cs="Arial"/>
          <w:b/>
          <w:bCs/>
          <w:szCs w:val="23"/>
        </w:rPr>
        <w:t>s</w:t>
      </w:r>
      <w:r w:rsidR="00FA4286" w:rsidRPr="00264955">
        <w:rPr>
          <w:rFonts w:cs="Arial"/>
          <w:b/>
          <w:bCs/>
          <w:szCs w:val="23"/>
        </w:rPr>
        <w:t>port</w:t>
      </w:r>
      <w:r w:rsidRPr="00D5245F">
        <w:rPr>
          <w:rFonts w:cs="Arial"/>
          <w:szCs w:val="23"/>
        </w:rPr>
        <w:t xml:space="preserve">scotland </w:t>
      </w:r>
      <w:r w:rsidR="00D5245F" w:rsidRPr="0086348F">
        <w:rPr>
          <w:rFonts w:cs="Arial"/>
          <w:szCs w:val="23"/>
        </w:rPr>
        <w:t>continued to work with SGBs, national partners, clubs and community organisations.</w:t>
      </w:r>
      <w:r w:rsidR="00264955">
        <w:rPr>
          <w:rFonts w:cs="Arial"/>
          <w:szCs w:val="23"/>
        </w:rPr>
        <w:t xml:space="preserve"> </w:t>
      </w:r>
      <w:r w:rsidR="00264955" w:rsidRPr="00264955">
        <w:rPr>
          <w:rFonts w:cs="Arial"/>
          <w:b/>
          <w:bCs/>
          <w:szCs w:val="23"/>
        </w:rPr>
        <w:t>sport</w:t>
      </w:r>
      <w:r w:rsidR="00264955" w:rsidRPr="00D5245F">
        <w:rPr>
          <w:rFonts w:cs="Arial"/>
          <w:szCs w:val="23"/>
        </w:rPr>
        <w:t>scotland</w:t>
      </w:r>
      <w:r w:rsidR="00264955" w:rsidRPr="0086348F">
        <w:rPr>
          <w:rFonts w:cs="Arial"/>
          <w:szCs w:val="23"/>
        </w:rPr>
        <w:t xml:space="preserve"> </w:t>
      </w:r>
      <w:r w:rsidR="00D5245F" w:rsidRPr="0086348F">
        <w:rPr>
          <w:rFonts w:cs="Arial"/>
          <w:szCs w:val="23"/>
        </w:rPr>
        <w:t>target investment</w:t>
      </w:r>
      <w:r w:rsidR="00264955">
        <w:rPr>
          <w:rFonts w:cs="Arial"/>
          <w:szCs w:val="23"/>
        </w:rPr>
        <w:t>s</w:t>
      </w:r>
      <w:r w:rsidR="00D5245F" w:rsidRPr="0086348F">
        <w:rPr>
          <w:rFonts w:cs="Arial"/>
          <w:szCs w:val="23"/>
        </w:rPr>
        <w:t xml:space="preserve"> to help protect the professional workforce and sports facilities infrastructure and support the ongoing recovery of the sport and leisure sector.</w:t>
      </w:r>
    </w:p>
    <w:p w14:paraId="56ADBEEA" w14:textId="77777777" w:rsidR="00465390" w:rsidRPr="00465390" w:rsidRDefault="00465390" w:rsidP="00465390">
      <w:pPr>
        <w:spacing w:before="240"/>
        <w:ind w:left="567"/>
        <w:rPr>
          <w:rFonts w:cs="Arial"/>
          <w:szCs w:val="23"/>
        </w:rPr>
      </w:pPr>
      <w:r w:rsidRPr="00465390">
        <w:rPr>
          <w:rFonts w:cs="Arial"/>
          <w:szCs w:val="23"/>
        </w:rPr>
        <w:t>The clubs and communities environment offers local opportunities for participants and athletes to take part in sport and physical activity and develop to the level they choose.  </w:t>
      </w:r>
    </w:p>
    <w:p w14:paraId="628205E6" w14:textId="77777777" w:rsidR="00465390" w:rsidRPr="00465390" w:rsidRDefault="00465390" w:rsidP="00465390">
      <w:pPr>
        <w:spacing w:before="240"/>
        <w:ind w:left="567"/>
        <w:rPr>
          <w:rFonts w:cs="Arial"/>
          <w:szCs w:val="23"/>
        </w:rPr>
      </w:pPr>
      <w:r w:rsidRPr="00465390">
        <w:rPr>
          <w:rFonts w:cs="Arial"/>
          <w:szCs w:val="23"/>
        </w:rPr>
        <w:t>Through our ways of working, we will improve the connections between local authorities and Scottish Governing Bodies of sport (SGBs) to build capacity and capability within local clubs, hubs and communities. We also work with third sector organisations and other partners to add value and strengthen this approach. </w:t>
      </w:r>
    </w:p>
    <w:p w14:paraId="3129422A" w14:textId="77777777" w:rsidR="00465390" w:rsidRPr="00465390" w:rsidRDefault="00465390" w:rsidP="00465390">
      <w:pPr>
        <w:spacing w:before="240"/>
        <w:ind w:left="567"/>
        <w:rPr>
          <w:rFonts w:cs="Arial"/>
          <w:szCs w:val="23"/>
        </w:rPr>
      </w:pPr>
      <w:r w:rsidRPr="00465390">
        <w:rPr>
          <w:rFonts w:cs="Arial"/>
          <w:szCs w:val="23"/>
        </w:rPr>
        <w:lastRenderedPageBreak/>
        <w:t>We continue to work with SGBs, national partners, clubs and community organisations to understand the impact of the cost-of-living crisis. We work with partners to target our investment to help protect the professional workforce and sports facilities infrastructure and support the ongoing recovery of the sport and leisure sector.  </w:t>
      </w:r>
    </w:p>
    <w:p w14:paraId="16DC1788" w14:textId="77777777" w:rsidR="00465390" w:rsidRPr="00465390" w:rsidRDefault="00465390" w:rsidP="00465390">
      <w:pPr>
        <w:spacing w:before="240"/>
        <w:ind w:left="567"/>
        <w:rPr>
          <w:rFonts w:cs="Arial"/>
          <w:szCs w:val="23"/>
        </w:rPr>
      </w:pPr>
      <w:r w:rsidRPr="00465390">
        <w:rPr>
          <w:rFonts w:cs="Arial"/>
          <w:szCs w:val="23"/>
        </w:rPr>
        <w:t>We encourage a more inclusive approach. We support clubs, hubs and communities to understand barriers people face, adapt to better meet these requirements, and make it easier for people to participate in sport. </w:t>
      </w:r>
    </w:p>
    <w:p w14:paraId="11912778" w14:textId="1C04AA9C" w:rsidR="00B455B0" w:rsidRPr="00B455B0" w:rsidRDefault="00B455B0" w:rsidP="007E57CD">
      <w:pPr>
        <w:pStyle w:val="Heading5"/>
        <w:spacing w:before="100" w:beforeAutospacing="1" w:after="100" w:afterAutospacing="1"/>
        <w:ind w:left="0" w:firstLine="567"/>
        <w:rPr>
          <w:rFonts w:asciiTheme="minorHAnsi" w:hAnsiTheme="minorHAnsi" w:cstheme="minorHAnsi"/>
          <w:i/>
          <w:iCs/>
          <w:sz w:val="22"/>
          <w:szCs w:val="22"/>
        </w:rPr>
      </w:pPr>
      <w:r w:rsidRPr="00B455B0">
        <w:rPr>
          <w:rFonts w:asciiTheme="minorHAnsi" w:hAnsiTheme="minorHAnsi" w:cstheme="minorHAnsi"/>
          <w:i/>
          <w:iCs/>
          <w:sz w:val="22"/>
          <w:szCs w:val="22"/>
        </w:rPr>
        <w:t>Schools and education</w:t>
      </w:r>
    </w:p>
    <w:p w14:paraId="46ADBAF2" w14:textId="77777777" w:rsidR="003B625A" w:rsidRPr="0086348F" w:rsidRDefault="00E623D7" w:rsidP="007E57CD">
      <w:pPr>
        <w:spacing w:before="240"/>
        <w:ind w:left="567"/>
        <w:rPr>
          <w:rFonts w:cs="Arial"/>
          <w:szCs w:val="23"/>
        </w:rPr>
      </w:pPr>
      <w:r>
        <w:rPr>
          <w:b/>
          <w:bCs/>
        </w:rPr>
        <w:t>s</w:t>
      </w:r>
      <w:r w:rsidRPr="00E67083">
        <w:rPr>
          <w:b/>
          <w:bCs/>
        </w:rPr>
        <w:t>port</w:t>
      </w:r>
      <w:r>
        <w:t xml:space="preserve">scotland </w:t>
      </w:r>
      <w:r w:rsidR="003B625A" w:rsidRPr="0039424C">
        <w:rPr>
          <w:rFonts w:cs="Arial"/>
          <w:szCs w:val="23"/>
        </w:rPr>
        <w:t>maintained regular dialogue with senior leaders to understand the challenges in sport across local authorities and to support strategic planning for sport across key programmes. We engaged directly with Active Schools and Sports Development Managers from all 32 local authorities to support delivery against the set priorities and local needs in each area.</w:t>
      </w:r>
      <w:r w:rsidR="003B625A" w:rsidRPr="0086348F">
        <w:rPr>
          <w:rFonts w:cs="Arial"/>
          <w:szCs w:val="23"/>
        </w:rPr>
        <w:t> </w:t>
      </w:r>
    </w:p>
    <w:p w14:paraId="06509B93" w14:textId="77777777" w:rsidR="00465390" w:rsidRPr="00465390" w:rsidRDefault="00465390" w:rsidP="00465390">
      <w:pPr>
        <w:spacing w:before="240"/>
        <w:ind w:left="567"/>
        <w:rPr>
          <w:rFonts w:cs="Arial"/>
          <w:szCs w:val="23"/>
        </w:rPr>
      </w:pPr>
      <w:r w:rsidRPr="00465390">
        <w:rPr>
          <w:rFonts w:cs="Arial"/>
          <w:szCs w:val="23"/>
        </w:rPr>
        <w:t>The schools and education environment helps build competence and confidence in sport by providing positive sporting experiences at schools, colleges and universities.  </w:t>
      </w:r>
    </w:p>
    <w:p w14:paraId="5D6D0036" w14:textId="77777777" w:rsidR="00465390" w:rsidRPr="00465390" w:rsidRDefault="00465390" w:rsidP="00465390">
      <w:pPr>
        <w:spacing w:before="240"/>
        <w:ind w:left="567"/>
        <w:rPr>
          <w:rFonts w:cs="Arial"/>
          <w:szCs w:val="23"/>
        </w:rPr>
      </w:pPr>
      <w:r w:rsidRPr="00465390">
        <w:rPr>
          <w:rFonts w:cs="Arial"/>
          <w:szCs w:val="23"/>
        </w:rPr>
        <w:t>We collaborate closely with local and national partners to make changes to improve sport and physical activity for children, young people and young adults. We also ensure the voice of children and young people informs our decision-making. </w:t>
      </w:r>
    </w:p>
    <w:p w14:paraId="39ADFF18" w14:textId="77777777" w:rsidR="00465390" w:rsidRPr="00465390" w:rsidRDefault="00465390" w:rsidP="00465390">
      <w:pPr>
        <w:spacing w:before="240"/>
        <w:ind w:left="567"/>
        <w:rPr>
          <w:rFonts w:cs="Arial"/>
          <w:szCs w:val="23"/>
        </w:rPr>
      </w:pPr>
      <w:r w:rsidRPr="00465390">
        <w:rPr>
          <w:rFonts w:cs="Arial"/>
          <w:szCs w:val="23"/>
        </w:rPr>
        <w:t>We engage strategically with local authorities and local partners to understand the impact of the cost-of-living crisis and resource constraints on local sport and physical activity. </w:t>
      </w:r>
    </w:p>
    <w:p w14:paraId="63200FA3" w14:textId="77777777" w:rsidR="00465390" w:rsidRPr="00465390" w:rsidRDefault="00465390" w:rsidP="00465390">
      <w:pPr>
        <w:spacing w:before="240"/>
        <w:ind w:left="567"/>
        <w:rPr>
          <w:rFonts w:cs="Arial"/>
          <w:szCs w:val="23"/>
        </w:rPr>
      </w:pPr>
      <w:r w:rsidRPr="00465390">
        <w:rPr>
          <w:rFonts w:cs="Arial"/>
          <w:szCs w:val="23"/>
        </w:rPr>
        <w:t>We will use our partnership working to everything we can to protect the professional workforce and sports facilities infrastructure, while driving the changes needed to reduce inequalities and ensure inclusion underpins everything we do. Our support will be driven by the needs and priorities of our local partners.  </w:t>
      </w:r>
    </w:p>
    <w:p w14:paraId="7597E500" w14:textId="5C819F22" w:rsidR="00326BEC" w:rsidRPr="00465390" w:rsidRDefault="00326BEC" w:rsidP="00465390">
      <w:pPr>
        <w:spacing w:before="240"/>
        <w:ind w:left="567"/>
        <w:rPr>
          <w:rFonts w:cs="Arial"/>
          <w:szCs w:val="23"/>
        </w:rPr>
      </w:pPr>
    </w:p>
    <w:p w14:paraId="63252C23" w14:textId="0F6D77C1" w:rsidR="00B455B0" w:rsidRPr="00246F13" w:rsidRDefault="00C6495A" w:rsidP="00B455B0">
      <w:pPr>
        <w:pStyle w:val="n"/>
        <w:numPr>
          <w:ilvl w:val="0"/>
          <w:numId w:val="1"/>
        </w:numPr>
        <w:rPr>
          <w:rFonts w:asciiTheme="minorHAnsi" w:hAnsiTheme="minorHAnsi"/>
          <w:b/>
          <w:sz w:val="22"/>
          <w:szCs w:val="22"/>
        </w:rPr>
      </w:pPr>
      <w:r w:rsidRPr="00246F13">
        <w:rPr>
          <w:rFonts w:asciiTheme="minorHAnsi" w:hAnsiTheme="minorHAnsi"/>
          <w:b/>
          <w:sz w:val="22"/>
          <w:szCs w:val="22"/>
        </w:rPr>
        <w:t>Efficiency Statement</w:t>
      </w:r>
    </w:p>
    <w:p w14:paraId="7FCD7CCE" w14:textId="3DB4EBD2" w:rsidR="00C6495A" w:rsidRDefault="00C6495A" w:rsidP="00C6495A">
      <w:pPr>
        <w:pStyle w:val="n"/>
        <w:numPr>
          <w:ilvl w:val="1"/>
          <w:numId w:val="1"/>
        </w:numPr>
        <w:rPr>
          <w:rFonts w:asciiTheme="minorHAnsi" w:hAnsiTheme="minorHAnsi"/>
          <w:sz w:val="22"/>
          <w:szCs w:val="22"/>
        </w:rPr>
      </w:pPr>
      <w:r w:rsidRPr="006A6997">
        <w:rPr>
          <w:rFonts w:asciiTheme="minorHAnsi" w:hAnsiTheme="minorHAnsi"/>
          <w:b/>
          <w:sz w:val="22"/>
          <w:szCs w:val="22"/>
        </w:rPr>
        <w:t>sport</w:t>
      </w:r>
      <w:r>
        <w:rPr>
          <w:rFonts w:asciiTheme="minorHAnsi" w:hAnsiTheme="minorHAnsi"/>
          <w:sz w:val="22"/>
          <w:szCs w:val="22"/>
        </w:rPr>
        <w:t>scotland continues to be focused on efficiency savings</w:t>
      </w:r>
      <w:r w:rsidR="00650441">
        <w:rPr>
          <w:rFonts w:asciiTheme="minorHAnsi" w:hAnsiTheme="minorHAnsi"/>
          <w:sz w:val="22"/>
          <w:szCs w:val="22"/>
        </w:rPr>
        <w:t xml:space="preserve">, especially through </w:t>
      </w:r>
      <w:r w:rsidR="00127CFC">
        <w:rPr>
          <w:rFonts w:asciiTheme="minorHAnsi" w:hAnsiTheme="minorHAnsi"/>
          <w:sz w:val="22"/>
          <w:szCs w:val="22"/>
        </w:rPr>
        <w:t>effective</w:t>
      </w:r>
      <w:r w:rsidR="00650441">
        <w:rPr>
          <w:rFonts w:asciiTheme="minorHAnsi" w:hAnsiTheme="minorHAnsi"/>
          <w:sz w:val="22"/>
          <w:szCs w:val="22"/>
        </w:rPr>
        <w:t xml:space="preserve"> </w:t>
      </w:r>
      <w:r w:rsidR="00D5245F">
        <w:rPr>
          <w:rFonts w:asciiTheme="minorHAnsi" w:hAnsiTheme="minorHAnsi"/>
          <w:sz w:val="22"/>
          <w:szCs w:val="22"/>
        </w:rPr>
        <w:t>use of</w:t>
      </w:r>
      <w:r w:rsidR="00127CFC">
        <w:rPr>
          <w:rFonts w:asciiTheme="minorHAnsi" w:hAnsiTheme="minorHAnsi"/>
          <w:sz w:val="22"/>
          <w:szCs w:val="22"/>
        </w:rPr>
        <w:t xml:space="preserve"> best value</w:t>
      </w:r>
      <w:r w:rsidR="00650441">
        <w:rPr>
          <w:rFonts w:asciiTheme="minorHAnsi" w:hAnsiTheme="minorHAnsi"/>
          <w:sz w:val="22"/>
          <w:szCs w:val="22"/>
        </w:rPr>
        <w:t xml:space="preserve"> procurement, both in terms of running competitive procurement tender processes and us</w:t>
      </w:r>
      <w:r w:rsidR="00AB77BF">
        <w:rPr>
          <w:rFonts w:asciiTheme="minorHAnsi" w:hAnsiTheme="minorHAnsi"/>
          <w:sz w:val="22"/>
          <w:szCs w:val="22"/>
        </w:rPr>
        <w:t>ing</w:t>
      </w:r>
      <w:r w:rsidR="00650441">
        <w:rPr>
          <w:rFonts w:asciiTheme="minorHAnsi" w:hAnsiTheme="minorHAnsi"/>
          <w:sz w:val="22"/>
          <w:szCs w:val="22"/>
        </w:rPr>
        <w:t xml:space="preserve"> centrally negotiated Government frameworks, and through efficient operation of our estate</w:t>
      </w:r>
      <w:r>
        <w:rPr>
          <w:rFonts w:asciiTheme="minorHAnsi" w:hAnsiTheme="minorHAnsi"/>
          <w:sz w:val="22"/>
          <w:szCs w:val="22"/>
        </w:rPr>
        <w:t>.</w:t>
      </w:r>
    </w:p>
    <w:p w14:paraId="2BA50B7F" w14:textId="21A27305" w:rsidR="00C6495A" w:rsidRPr="00246F13" w:rsidRDefault="00C6495A" w:rsidP="00C6495A">
      <w:pPr>
        <w:pStyle w:val="n"/>
        <w:numPr>
          <w:ilvl w:val="1"/>
          <w:numId w:val="1"/>
        </w:numPr>
        <w:rPr>
          <w:rFonts w:asciiTheme="minorHAnsi" w:hAnsiTheme="minorHAnsi"/>
          <w:sz w:val="22"/>
          <w:szCs w:val="22"/>
        </w:rPr>
      </w:pPr>
      <w:r w:rsidRPr="00246F13">
        <w:rPr>
          <w:rFonts w:asciiTheme="minorHAnsi" w:hAnsiTheme="minorHAnsi"/>
          <w:sz w:val="22"/>
          <w:szCs w:val="22"/>
        </w:rPr>
        <w:t>Key areas of focus for savings in the year ended 31 March 20</w:t>
      </w:r>
      <w:r w:rsidR="00C03207" w:rsidRPr="00246F13">
        <w:rPr>
          <w:rFonts w:asciiTheme="minorHAnsi" w:hAnsiTheme="minorHAnsi"/>
          <w:sz w:val="22"/>
          <w:szCs w:val="22"/>
        </w:rPr>
        <w:t>2</w:t>
      </w:r>
      <w:r w:rsidR="00CF0FBE">
        <w:rPr>
          <w:rFonts w:asciiTheme="minorHAnsi" w:hAnsiTheme="minorHAnsi"/>
          <w:sz w:val="22"/>
          <w:szCs w:val="22"/>
        </w:rPr>
        <w:t>5</w:t>
      </w:r>
      <w:r w:rsidRPr="00246F13">
        <w:rPr>
          <w:rFonts w:asciiTheme="minorHAnsi" w:hAnsiTheme="minorHAnsi"/>
          <w:sz w:val="22"/>
          <w:szCs w:val="22"/>
        </w:rPr>
        <w:t xml:space="preserve"> included:</w:t>
      </w:r>
    </w:p>
    <w:p w14:paraId="0ED3518B" w14:textId="57D58D7A" w:rsidR="006A6997" w:rsidRPr="00246F13" w:rsidRDefault="00C6495A" w:rsidP="00C6495A">
      <w:pPr>
        <w:pStyle w:val="n"/>
        <w:numPr>
          <w:ilvl w:val="0"/>
          <w:numId w:val="4"/>
        </w:numPr>
        <w:rPr>
          <w:rFonts w:asciiTheme="minorHAnsi" w:hAnsiTheme="minorHAnsi" w:cstheme="minorHAnsi"/>
          <w:sz w:val="22"/>
          <w:szCs w:val="22"/>
        </w:rPr>
      </w:pPr>
      <w:r w:rsidRPr="00246F13">
        <w:rPr>
          <w:rFonts w:asciiTheme="minorHAnsi" w:hAnsiTheme="minorHAnsi" w:cstheme="minorHAnsi"/>
          <w:sz w:val="22"/>
          <w:szCs w:val="22"/>
        </w:rPr>
        <w:t>Procurement – we continue</w:t>
      </w:r>
      <w:r w:rsidR="00AB77BF" w:rsidRPr="00246F13">
        <w:rPr>
          <w:rFonts w:asciiTheme="minorHAnsi" w:hAnsiTheme="minorHAnsi" w:cstheme="minorHAnsi"/>
          <w:sz w:val="22"/>
          <w:szCs w:val="22"/>
        </w:rPr>
        <w:t>d</w:t>
      </w:r>
      <w:r w:rsidRPr="00246F13">
        <w:rPr>
          <w:rFonts w:asciiTheme="minorHAnsi" w:hAnsiTheme="minorHAnsi" w:cstheme="minorHAnsi"/>
          <w:sz w:val="22"/>
          <w:szCs w:val="22"/>
        </w:rPr>
        <w:t xml:space="preserve"> to work to identify opportunities to get best value from tendering for the supply of goods and services</w:t>
      </w:r>
      <w:r w:rsidR="00473812" w:rsidRPr="00246F13">
        <w:rPr>
          <w:rFonts w:asciiTheme="minorHAnsi" w:hAnsiTheme="minorHAnsi" w:cstheme="minorHAnsi"/>
          <w:sz w:val="22"/>
          <w:szCs w:val="22"/>
        </w:rPr>
        <w:t xml:space="preserve"> and through good contract management</w:t>
      </w:r>
      <w:r w:rsidRPr="00246F13">
        <w:rPr>
          <w:rFonts w:asciiTheme="minorHAnsi" w:hAnsiTheme="minorHAnsi" w:cstheme="minorHAnsi"/>
          <w:sz w:val="22"/>
          <w:szCs w:val="22"/>
        </w:rPr>
        <w:t xml:space="preserve">.  </w:t>
      </w:r>
    </w:p>
    <w:p w14:paraId="4A3F0B3C" w14:textId="09C1C74F" w:rsidR="00AC256A" w:rsidRPr="00246F13" w:rsidRDefault="00AC256A" w:rsidP="00AC256A">
      <w:pPr>
        <w:pStyle w:val="n"/>
        <w:numPr>
          <w:ilvl w:val="1"/>
          <w:numId w:val="4"/>
        </w:numPr>
        <w:rPr>
          <w:rFonts w:asciiTheme="minorHAnsi" w:hAnsiTheme="minorHAnsi"/>
          <w:sz w:val="22"/>
          <w:szCs w:val="22"/>
        </w:rPr>
      </w:pPr>
      <w:r w:rsidRPr="00246F13">
        <w:rPr>
          <w:rFonts w:asciiTheme="minorHAnsi" w:hAnsiTheme="minorHAnsi"/>
          <w:sz w:val="22"/>
          <w:szCs w:val="22"/>
        </w:rPr>
        <w:lastRenderedPageBreak/>
        <w:t>Where a requirement can be met and value for money achieved through the use of an existing contract put in place b</w:t>
      </w:r>
      <w:r w:rsidR="009235D7" w:rsidRPr="00246F13">
        <w:rPr>
          <w:rFonts w:asciiTheme="minorHAnsi" w:hAnsiTheme="minorHAnsi"/>
          <w:sz w:val="22"/>
          <w:szCs w:val="22"/>
        </w:rPr>
        <w:t>y</w:t>
      </w:r>
      <w:r w:rsidRPr="00246F13">
        <w:rPr>
          <w:rFonts w:asciiTheme="minorHAnsi" w:hAnsiTheme="minorHAnsi"/>
          <w:sz w:val="22"/>
          <w:szCs w:val="22"/>
        </w:rPr>
        <w:t xml:space="preserve"> the Scottish Procurement and Commercial Directorate or another collaborative procurement agency such as Crown Commercial Service,</w:t>
      </w:r>
      <w:r w:rsidR="0081327D" w:rsidRPr="00246F13">
        <w:rPr>
          <w:rFonts w:asciiTheme="minorHAnsi" w:hAnsiTheme="minorHAnsi"/>
          <w:sz w:val="22"/>
          <w:szCs w:val="22"/>
        </w:rPr>
        <w:t xml:space="preserve"> </w:t>
      </w:r>
      <w:r w:rsidRPr="00246F13">
        <w:rPr>
          <w:rFonts w:asciiTheme="minorHAnsi" w:hAnsiTheme="minorHAnsi"/>
          <w:b/>
          <w:bCs/>
          <w:sz w:val="22"/>
          <w:szCs w:val="22"/>
        </w:rPr>
        <w:t>sport</w:t>
      </w:r>
      <w:r w:rsidRPr="00246F13">
        <w:rPr>
          <w:rFonts w:asciiTheme="minorHAnsi" w:hAnsiTheme="minorHAnsi"/>
          <w:sz w:val="22"/>
          <w:szCs w:val="22"/>
        </w:rPr>
        <w:t>scotland’s policy is to utilise these contracts.</w:t>
      </w:r>
    </w:p>
    <w:p w14:paraId="5B1A08DC" w14:textId="06E844B7" w:rsidR="00AC256A" w:rsidRPr="00246F13" w:rsidRDefault="00AC256A" w:rsidP="00AC256A">
      <w:pPr>
        <w:pStyle w:val="n"/>
        <w:numPr>
          <w:ilvl w:val="1"/>
          <w:numId w:val="4"/>
        </w:numPr>
        <w:rPr>
          <w:rFonts w:asciiTheme="minorHAnsi" w:hAnsiTheme="minorHAnsi"/>
          <w:sz w:val="22"/>
          <w:szCs w:val="22"/>
        </w:rPr>
      </w:pPr>
      <w:r w:rsidRPr="00246F13">
        <w:rPr>
          <w:rFonts w:asciiTheme="minorHAnsi" w:hAnsiTheme="minorHAnsi"/>
          <w:sz w:val="22"/>
          <w:szCs w:val="22"/>
        </w:rPr>
        <w:t xml:space="preserve">During the period, </w:t>
      </w:r>
      <w:r w:rsidRPr="00246F13">
        <w:rPr>
          <w:rFonts w:asciiTheme="minorHAnsi" w:hAnsiTheme="minorHAnsi"/>
          <w:b/>
          <w:bCs/>
          <w:sz w:val="22"/>
          <w:szCs w:val="22"/>
        </w:rPr>
        <w:t>sport</w:t>
      </w:r>
      <w:r w:rsidRPr="00246F13">
        <w:rPr>
          <w:rFonts w:asciiTheme="minorHAnsi" w:hAnsiTheme="minorHAnsi"/>
          <w:sz w:val="22"/>
          <w:szCs w:val="22"/>
        </w:rPr>
        <w:t>scotland spent £</w:t>
      </w:r>
      <w:r w:rsidR="003B0735">
        <w:rPr>
          <w:rFonts w:asciiTheme="minorHAnsi" w:hAnsiTheme="minorHAnsi"/>
          <w:sz w:val="22"/>
          <w:szCs w:val="22"/>
        </w:rPr>
        <w:t>245,999</w:t>
      </w:r>
      <w:r w:rsidRPr="00246F13">
        <w:rPr>
          <w:rFonts w:asciiTheme="minorHAnsi" w:hAnsiTheme="minorHAnsi"/>
          <w:sz w:val="22"/>
          <w:szCs w:val="22"/>
        </w:rPr>
        <w:t xml:space="preserve"> through </w:t>
      </w:r>
      <w:r w:rsidR="00F61077" w:rsidRPr="00246F13">
        <w:rPr>
          <w:rFonts w:asciiTheme="minorHAnsi" w:hAnsiTheme="minorHAnsi"/>
          <w:sz w:val="22"/>
          <w:szCs w:val="22"/>
        </w:rPr>
        <w:t>the</w:t>
      </w:r>
      <w:r w:rsidR="00CC7807" w:rsidRPr="00246F13">
        <w:rPr>
          <w:rFonts w:asciiTheme="minorHAnsi" w:hAnsiTheme="minorHAnsi"/>
          <w:sz w:val="22"/>
          <w:szCs w:val="22"/>
        </w:rPr>
        <w:t xml:space="preserve"> </w:t>
      </w:r>
      <w:r w:rsidRPr="00246F13">
        <w:rPr>
          <w:rFonts w:asciiTheme="minorHAnsi" w:hAnsiTheme="minorHAnsi"/>
          <w:sz w:val="22"/>
          <w:szCs w:val="22"/>
        </w:rPr>
        <w:t>Scottish Government Frameworks, resulting in savings of £</w:t>
      </w:r>
      <w:r w:rsidR="003B0735">
        <w:rPr>
          <w:rFonts w:asciiTheme="minorHAnsi" w:hAnsiTheme="minorHAnsi"/>
          <w:sz w:val="22"/>
          <w:szCs w:val="22"/>
        </w:rPr>
        <w:t>46,121</w:t>
      </w:r>
      <w:r w:rsidRPr="00246F13">
        <w:rPr>
          <w:rFonts w:asciiTheme="minorHAnsi" w:hAnsiTheme="minorHAnsi"/>
          <w:sz w:val="22"/>
          <w:szCs w:val="22"/>
        </w:rPr>
        <w:t xml:space="preserve">. </w:t>
      </w:r>
    </w:p>
    <w:p w14:paraId="78B7B823" w14:textId="2AD75C2E" w:rsidR="00ED236C" w:rsidRDefault="00B14C09" w:rsidP="00ED236C">
      <w:pPr>
        <w:pStyle w:val="n"/>
        <w:numPr>
          <w:ilvl w:val="1"/>
          <w:numId w:val="4"/>
        </w:numPr>
        <w:rPr>
          <w:rFonts w:asciiTheme="minorHAnsi" w:hAnsiTheme="minorHAnsi"/>
          <w:sz w:val="22"/>
          <w:szCs w:val="22"/>
        </w:rPr>
      </w:pPr>
      <w:r w:rsidRPr="00B54B5B">
        <w:rPr>
          <w:rFonts w:asciiTheme="minorHAnsi" w:hAnsiTheme="minorHAnsi"/>
          <w:b/>
          <w:bCs/>
          <w:sz w:val="22"/>
          <w:szCs w:val="22"/>
        </w:rPr>
        <w:t>sport</w:t>
      </w:r>
      <w:r w:rsidRPr="00B14C09">
        <w:rPr>
          <w:rFonts w:asciiTheme="minorHAnsi" w:hAnsiTheme="minorHAnsi"/>
          <w:sz w:val="22"/>
          <w:szCs w:val="22"/>
        </w:rPr>
        <w:t>scotland also spent £</w:t>
      </w:r>
      <w:r w:rsidR="003B0735">
        <w:rPr>
          <w:rFonts w:asciiTheme="minorHAnsi" w:hAnsiTheme="minorHAnsi"/>
          <w:sz w:val="22"/>
          <w:szCs w:val="22"/>
        </w:rPr>
        <w:t>1,053,957</w:t>
      </w:r>
      <w:r w:rsidRPr="00B14C09">
        <w:rPr>
          <w:rFonts w:asciiTheme="minorHAnsi" w:hAnsiTheme="minorHAnsi"/>
          <w:sz w:val="22"/>
          <w:szCs w:val="22"/>
        </w:rPr>
        <w:t xml:space="preserve"> with Crown Commercial Service, NHS and other Frameworks realising total savings of £</w:t>
      </w:r>
      <w:r w:rsidR="00554453">
        <w:rPr>
          <w:rFonts w:asciiTheme="minorHAnsi" w:hAnsiTheme="minorHAnsi"/>
          <w:sz w:val="22"/>
          <w:szCs w:val="22"/>
        </w:rPr>
        <w:t>213,587</w:t>
      </w:r>
      <w:r w:rsidRPr="00B14C09">
        <w:rPr>
          <w:rFonts w:asciiTheme="minorHAnsi" w:hAnsiTheme="minorHAnsi"/>
          <w:sz w:val="22"/>
          <w:szCs w:val="22"/>
        </w:rPr>
        <w:t>.</w:t>
      </w:r>
    </w:p>
    <w:p w14:paraId="16614CFA" w14:textId="31178D24" w:rsidR="006A6997" w:rsidRPr="008C5C7E" w:rsidRDefault="006A6997" w:rsidP="00C6495A">
      <w:pPr>
        <w:pStyle w:val="n"/>
        <w:numPr>
          <w:ilvl w:val="0"/>
          <w:numId w:val="4"/>
        </w:numPr>
        <w:rPr>
          <w:rFonts w:asciiTheme="minorHAnsi" w:hAnsiTheme="minorHAnsi"/>
          <w:sz w:val="22"/>
          <w:szCs w:val="22"/>
        </w:rPr>
      </w:pPr>
      <w:r w:rsidRPr="008C5C7E">
        <w:rPr>
          <w:rFonts w:asciiTheme="minorHAnsi" w:hAnsiTheme="minorHAnsi"/>
          <w:sz w:val="22"/>
          <w:szCs w:val="22"/>
        </w:rPr>
        <w:t xml:space="preserve">Estate – we regularly review </w:t>
      </w:r>
      <w:r w:rsidR="00650441" w:rsidRPr="008C5C7E">
        <w:rPr>
          <w:rFonts w:asciiTheme="minorHAnsi" w:hAnsiTheme="minorHAnsi"/>
          <w:sz w:val="22"/>
          <w:szCs w:val="22"/>
        </w:rPr>
        <w:t>the</w:t>
      </w:r>
      <w:r w:rsidRPr="008C5C7E">
        <w:rPr>
          <w:rFonts w:asciiTheme="minorHAnsi" w:hAnsiTheme="minorHAnsi"/>
          <w:sz w:val="22"/>
          <w:szCs w:val="22"/>
        </w:rPr>
        <w:t xml:space="preserve"> requirement</w:t>
      </w:r>
      <w:r w:rsidR="00650441" w:rsidRPr="008C5C7E">
        <w:rPr>
          <w:rFonts w:asciiTheme="minorHAnsi" w:hAnsiTheme="minorHAnsi"/>
          <w:sz w:val="22"/>
          <w:szCs w:val="22"/>
        </w:rPr>
        <w:t>s of our estate</w:t>
      </w:r>
      <w:r w:rsidRPr="008C5C7E">
        <w:rPr>
          <w:rFonts w:asciiTheme="minorHAnsi" w:hAnsiTheme="minorHAnsi"/>
          <w:sz w:val="22"/>
          <w:szCs w:val="22"/>
        </w:rPr>
        <w:t xml:space="preserve"> to minimise costs and maximise revenue where possible, including:</w:t>
      </w:r>
    </w:p>
    <w:p w14:paraId="1F682D3E" w14:textId="7D0A573D" w:rsidR="006A6997" w:rsidRPr="002B5C5A" w:rsidRDefault="009D4287" w:rsidP="006A6997">
      <w:pPr>
        <w:pStyle w:val="n"/>
        <w:numPr>
          <w:ilvl w:val="1"/>
          <w:numId w:val="4"/>
        </w:numPr>
        <w:rPr>
          <w:rFonts w:asciiTheme="minorHAnsi" w:hAnsiTheme="minorHAnsi"/>
          <w:sz w:val="22"/>
          <w:szCs w:val="22"/>
        </w:rPr>
      </w:pPr>
      <w:r w:rsidRPr="002B5C5A">
        <w:rPr>
          <w:rFonts w:asciiTheme="minorHAnsi" w:hAnsiTheme="minorHAnsi"/>
          <w:sz w:val="22"/>
          <w:szCs w:val="22"/>
        </w:rPr>
        <w:t>Active maintenance of our t</w:t>
      </w:r>
      <w:r w:rsidR="00AC256A">
        <w:rPr>
          <w:rFonts w:asciiTheme="minorHAnsi" w:hAnsiTheme="minorHAnsi"/>
          <w:sz w:val="22"/>
          <w:szCs w:val="22"/>
        </w:rPr>
        <w:t>wo</w:t>
      </w:r>
      <w:r w:rsidRPr="002B5C5A">
        <w:rPr>
          <w:rFonts w:asciiTheme="minorHAnsi" w:hAnsiTheme="minorHAnsi"/>
          <w:sz w:val="22"/>
          <w:szCs w:val="22"/>
        </w:rPr>
        <w:t xml:space="preserve"> national centres to ensure that they are maintained in </w:t>
      </w:r>
      <w:r w:rsidR="002B5C5A" w:rsidRPr="002B5C5A">
        <w:rPr>
          <w:rFonts w:asciiTheme="minorHAnsi" w:hAnsiTheme="minorHAnsi"/>
          <w:sz w:val="22"/>
          <w:szCs w:val="22"/>
        </w:rPr>
        <w:t>appropriate</w:t>
      </w:r>
      <w:r w:rsidRPr="002B5C5A">
        <w:rPr>
          <w:rFonts w:asciiTheme="minorHAnsi" w:hAnsiTheme="minorHAnsi"/>
          <w:sz w:val="22"/>
          <w:szCs w:val="22"/>
        </w:rPr>
        <w:t xml:space="preserve"> condition</w:t>
      </w:r>
      <w:r w:rsidR="002B5C5A" w:rsidRPr="002B5C5A">
        <w:rPr>
          <w:rFonts w:asciiTheme="minorHAnsi" w:hAnsiTheme="minorHAnsi"/>
          <w:sz w:val="22"/>
          <w:szCs w:val="22"/>
        </w:rPr>
        <w:t xml:space="preserve"> to optimise revenue generating </w:t>
      </w:r>
      <w:r w:rsidR="00D5245F" w:rsidRPr="002B5C5A">
        <w:rPr>
          <w:rFonts w:asciiTheme="minorHAnsi" w:hAnsiTheme="minorHAnsi"/>
          <w:sz w:val="22"/>
          <w:szCs w:val="22"/>
        </w:rPr>
        <w:t>opportunities</w:t>
      </w:r>
      <w:r w:rsidR="00D5245F">
        <w:rPr>
          <w:rFonts w:asciiTheme="minorHAnsi" w:hAnsiTheme="minorHAnsi"/>
          <w:sz w:val="22"/>
          <w:szCs w:val="22"/>
        </w:rPr>
        <w:t>;</w:t>
      </w:r>
    </w:p>
    <w:p w14:paraId="6AF353EC" w14:textId="10C1CCC7" w:rsidR="006A6997" w:rsidRPr="002B5C5A" w:rsidRDefault="006A6997" w:rsidP="006A6997">
      <w:pPr>
        <w:pStyle w:val="n"/>
        <w:numPr>
          <w:ilvl w:val="1"/>
          <w:numId w:val="4"/>
        </w:numPr>
        <w:rPr>
          <w:rFonts w:asciiTheme="minorHAnsi" w:hAnsiTheme="minorHAnsi"/>
          <w:sz w:val="22"/>
          <w:szCs w:val="22"/>
        </w:rPr>
      </w:pPr>
      <w:r w:rsidRPr="002B5C5A">
        <w:rPr>
          <w:rFonts w:asciiTheme="minorHAnsi" w:hAnsiTheme="minorHAnsi"/>
          <w:sz w:val="22"/>
          <w:szCs w:val="22"/>
        </w:rPr>
        <w:t>Review of existing regional offices to identify opportunities to co</w:t>
      </w:r>
      <w:r w:rsidR="009D4287" w:rsidRPr="002B5C5A">
        <w:rPr>
          <w:rFonts w:asciiTheme="minorHAnsi" w:hAnsiTheme="minorHAnsi"/>
          <w:sz w:val="22"/>
          <w:szCs w:val="22"/>
        </w:rPr>
        <w:t>-</w:t>
      </w:r>
      <w:r w:rsidRPr="002B5C5A">
        <w:rPr>
          <w:rFonts w:asciiTheme="minorHAnsi" w:hAnsiTheme="minorHAnsi"/>
          <w:sz w:val="22"/>
          <w:szCs w:val="22"/>
        </w:rPr>
        <w:t>locate with partners</w:t>
      </w:r>
      <w:r w:rsidR="00AB77BF">
        <w:rPr>
          <w:rFonts w:asciiTheme="minorHAnsi" w:hAnsiTheme="minorHAnsi"/>
          <w:sz w:val="22"/>
          <w:szCs w:val="22"/>
        </w:rPr>
        <w:t xml:space="preserve"> and</w:t>
      </w:r>
      <w:r w:rsidR="00D5245F">
        <w:rPr>
          <w:rFonts w:asciiTheme="minorHAnsi" w:hAnsiTheme="minorHAnsi"/>
          <w:sz w:val="22"/>
          <w:szCs w:val="22"/>
        </w:rPr>
        <w:t>;</w:t>
      </w:r>
    </w:p>
    <w:p w14:paraId="70F39121" w14:textId="0A4C2495" w:rsidR="00C6495A" w:rsidRPr="002B5C5A" w:rsidRDefault="00D049F8" w:rsidP="00806012">
      <w:pPr>
        <w:pStyle w:val="n"/>
        <w:numPr>
          <w:ilvl w:val="1"/>
          <w:numId w:val="4"/>
        </w:numPr>
        <w:rPr>
          <w:rFonts w:asciiTheme="minorHAnsi" w:hAnsiTheme="minorHAnsi"/>
          <w:sz w:val="22"/>
          <w:szCs w:val="22"/>
        </w:rPr>
      </w:pPr>
      <w:r>
        <w:rPr>
          <w:rFonts w:asciiTheme="minorHAnsi" w:hAnsiTheme="minorHAnsi"/>
          <w:sz w:val="22"/>
          <w:szCs w:val="22"/>
        </w:rPr>
        <w:t>Closing Caledonian House and disposing of Cumbrae</w:t>
      </w:r>
      <w:r w:rsidR="00AB77BF">
        <w:rPr>
          <w:rFonts w:asciiTheme="minorHAnsi" w:hAnsiTheme="minorHAnsi"/>
          <w:sz w:val="22"/>
          <w:szCs w:val="22"/>
        </w:rPr>
        <w:t>.</w:t>
      </w:r>
    </w:p>
    <w:sectPr w:rsidR="00C6495A" w:rsidRPr="002B5C5A" w:rsidSect="00650441">
      <w:footerReference w:type="default" r:id="rId15"/>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861F" w14:textId="77777777" w:rsidR="002E06C3" w:rsidRDefault="002E06C3" w:rsidP="005B4C21">
      <w:pPr>
        <w:spacing w:after="0" w:line="240" w:lineRule="auto"/>
      </w:pPr>
      <w:r>
        <w:separator/>
      </w:r>
    </w:p>
  </w:endnote>
  <w:endnote w:type="continuationSeparator" w:id="0">
    <w:p w14:paraId="77C2ED25" w14:textId="77777777" w:rsidR="002E06C3" w:rsidRDefault="002E06C3" w:rsidP="005B4C21">
      <w:pPr>
        <w:spacing w:after="0" w:line="240" w:lineRule="auto"/>
      </w:pPr>
      <w:r>
        <w:continuationSeparator/>
      </w:r>
    </w:p>
  </w:endnote>
  <w:endnote w:type="continuationNotice" w:id="1">
    <w:p w14:paraId="733BDA46" w14:textId="77777777" w:rsidR="002E06C3" w:rsidRDefault="002E0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508592"/>
      <w:docPartObj>
        <w:docPartGallery w:val="Page Numbers (Bottom of Page)"/>
        <w:docPartUnique/>
      </w:docPartObj>
    </w:sdtPr>
    <w:sdtEndPr>
      <w:rPr>
        <w:noProof/>
      </w:rPr>
    </w:sdtEndPr>
    <w:sdtContent>
      <w:p w14:paraId="363B3692" w14:textId="3444DB97" w:rsidR="008C610E" w:rsidRDefault="008C61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8841E" w14:textId="77777777" w:rsidR="008C610E" w:rsidRDefault="008C610E">
    <w:pPr>
      <w:pStyle w:val="Footer"/>
    </w:pPr>
  </w:p>
  <w:p w14:paraId="73C2147C" w14:textId="77777777" w:rsidR="0050065E" w:rsidRDefault="00500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78D9" w14:textId="77777777" w:rsidR="002E06C3" w:rsidRDefault="002E06C3" w:rsidP="005B4C21">
      <w:pPr>
        <w:spacing w:after="0" w:line="240" w:lineRule="auto"/>
      </w:pPr>
      <w:r>
        <w:separator/>
      </w:r>
    </w:p>
  </w:footnote>
  <w:footnote w:type="continuationSeparator" w:id="0">
    <w:p w14:paraId="78194C15" w14:textId="77777777" w:rsidR="002E06C3" w:rsidRDefault="002E06C3" w:rsidP="005B4C21">
      <w:pPr>
        <w:spacing w:after="0" w:line="240" w:lineRule="auto"/>
      </w:pPr>
      <w:r>
        <w:continuationSeparator/>
      </w:r>
    </w:p>
  </w:footnote>
  <w:footnote w:type="continuationNotice" w:id="1">
    <w:p w14:paraId="0141C869" w14:textId="77777777" w:rsidR="002E06C3" w:rsidRDefault="002E06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6318"/>
    <w:multiLevelType w:val="hybridMultilevel"/>
    <w:tmpl w:val="BB6806BC"/>
    <w:lvl w:ilvl="0" w:tplc="08090001">
      <w:start w:val="1"/>
      <w:numFmt w:val="bullet"/>
      <w:lvlText w:val=""/>
      <w:lvlJc w:val="left"/>
      <w:pPr>
        <w:ind w:left="1683" w:hanging="360"/>
      </w:pPr>
      <w:rPr>
        <w:rFonts w:ascii="Symbol" w:hAnsi="Symbol" w:hint="default"/>
      </w:rPr>
    </w:lvl>
    <w:lvl w:ilvl="1" w:tplc="08090003">
      <w:start w:val="1"/>
      <w:numFmt w:val="bullet"/>
      <w:lvlText w:val="o"/>
      <w:lvlJc w:val="left"/>
      <w:pPr>
        <w:ind w:left="2403" w:hanging="360"/>
      </w:pPr>
      <w:rPr>
        <w:rFonts w:ascii="Courier New" w:hAnsi="Courier New" w:cs="Courier New" w:hint="default"/>
      </w:rPr>
    </w:lvl>
    <w:lvl w:ilvl="2" w:tplc="08090005">
      <w:start w:val="1"/>
      <w:numFmt w:val="bullet"/>
      <w:lvlText w:val=""/>
      <w:lvlJc w:val="left"/>
      <w:pPr>
        <w:ind w:left="3123" w:hanging="360"/>
      </w:pPr>
      <w:rPr>
        <w:rFonts w:ascii="Wingdings" w:hAnsi="Wingdings" w:hint="default"/>
      </w:rPr>
    </w:lvl>
    <w:lvl w:ilvl="3" w:tplc="08090001" w:tentative="1">
      <w:start w:val="1"/>
      <w:numFmt w:val="bullet"/>
      <w:lvlText w:val=""/>
      <w:lvlJc w:val="left"/>
      <w:pPr>
        <w:ind w:left="3843" w:hanging="360"/>
      </w:pPr>
      <w:rPr>
        <w:rFonts w:ascii="Symbol" w:hAnsi="Symbol" w:hint="default"/>
      </w:rPr>
    </w:lvl>
    <w:lvl w:ilvl="4" w:tplc="08090003" w:tentative="1">
      <w:start w:val="1"/>
      <w:numFmt w:val="bullet"/>
      <w:lvlText w:val="o"/>
      <w:lvlJc w:val="left"/>
      <w:pPr>
        <w:ind w:left="4563" w:hanging="360"/>
      </w:pPr>
      <w:rPr>
        <w:rFonts w:ascii="Courier New" w:hAnsi="Courier New" w:cs="Courier New" w:hint="default"/>
      </w:rPr>
    </w:lvl>
    <w:lvl w:ilvl="5" w:tplc="08090005" w:tentative="1">
      <w:start w:val="1"/>
      <w:numFmt w:val="bullet"/>
      <w:lvlText w:val=""/>
      <w:lvlJc w:val="left"/>
      <w:pPr>
        <w:ind w:left="5283" w:hanging="360"/>
      </w:pPr>
      <w:rPr>
        <w:rFonts w:ascii="Wingdings" w:hAnsi="Wingdings" w:hint="default"/>
      </w:rPr>
    </w:lvl>
    <w:lvl w:ilvl="6" w:tplc="08090001" w:tentative="1">
      <w:start w:val="1"/>
      <w:numFmt w:val="bullet"/>
      <w:lvlText w:val=""/>
      <w:lvlJc w:val="left"/>
      <w:pPr>
        <w:ind w:left="6003" w:hanging="360"/>
      </w:pPr>
      <w:rPr>
        <w:rFonts w:ascii="Symbol" w:hAnsi="Symbol" w:hint="default"/>
      </w:rPr>
    </w:lvl>
    <w:lvl w:ilvl="7" w:tplc="08090003" w:tentative="1">
      <w:start w:val="1"/>
      <w:numFmt w:val="bullet"/>
      <w:lvlText w:val="o"/>
      <w:lvlJc w:val="left"/>
      <w:pPr>
        <w:ind w:left="6723" w:hanging="360"/>
      </w:pPr>
      <w:rPr>
        <w:rFonts w:ascii="Courier New" w:hAnsi="Courier New" w:cs="Courier New" w:hint="default"/>
      </w:rPr>
    </w:lvl>
    <w:lvl w:ilvl="8" w:tplc="08090005" w:tentative="1">
      <w:start w:val="1"/>
      <w:numFmt w:val="bullet"/>
      <w:lvlText w:val=""/>
      <w:lvlJc w:val="left"/>
      <w:pPr>
        <w:ind w:left="7443" w:hanging="360"/>
      </w:pPr>
      <w:rPr>
        <w:rFonts w:ascii="Wingdings" w:hAnsi="Wingdings" w:hint="default"/>
      </w:rPr>
    </w:lvl>
  </w:abstractNum>
  <w:abstractNum w:abstractNumId="1" w15:restartNumberingAfterBreak="0">
    <w:nsid w:val="31885F85"/>
    <w:multiLevelType w:val="hybridMultilevel"/>
    <w:tmpl w:val="8418F4C4"/>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 w15:restartNumberingAfterBreak="0">
    <w:nsid w:val="4D50396F"/>
    <w:multiLevelType w:val="hybridMultilevel"/>
    <w:tmpl w:val="4002E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0D64C4"/>
    <w:multiLevelType w:val="multilevel"/>
    <w:tmpl w:val="B95697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4412ECF"/>
    <w:multiLevelType w:val="hybridMultilevel"/>
    <w:tmpl w:val="E7D2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560254">
    <w:abstractNumId w:val="3"/>
  </w:num>
  <w:num w:numId="2" w16cid:durableId="1788962030">
    <w:abstractNumId w:val="4"/>
  </w:num>
  <w:num w:numId="3" w16cid:durableId="184056045">
    <w:abstractNumId w:val="2"/>
  </w:num>
  <w:num w:numId="4" w16cid:durableId="793642879">
    <w:abstractNumId w:val="1"/>
  </w:num>
  <w:num w:numId="5" w16cid:durableId="112689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51"/>
    <w:rsid w:val="0000329D"/>
    <w:rsid w:val="00014C41"/>
    <w:rsid w:val="000248C2"/>
    <w:rsid w:val="000310E7"/>
    <w:rsid w:val="00041096"/>
    <w:rsid w:val="00061AC4"/>
    <w:rsid w:val="000710AA"/>
    <w:rsid w:val="00076738"/>
    <w:rsid w:val="00083A16"/>
    <w:rsid w:val="00093DC9"/>
    <w:rsid w:val="000973DB"/>
    <w:rsid w:val="000C1448"/>
    <w:rsid w:val="000E5A87"/>
    <w:rsid w:val="000F6F65"/>
    <w:rsid w:val="00107845"/>
    <w:rsid w:val="0011169F"/>
    <w:rsid w:val="0011268C"/>
    <w:rsid w:val="00124D23"/>
    <w:rsid w:val="00127CFC"/>
    <w:rsid w:val="0013555B"/>
    <w:rsid w:val="00137979"/>
    <w:rsid w:val="001379C2"/>
    <w:rsid w:val="001411FB"/>
    <w:rsid w:val="001604A4"/>
    <w:rsid w:val="001623EC"/>
    <w:rsid w:val="00180B54"/>
    <w:rsid w:val="00185144"/>
    <w:rsid w:val="0019236D"/>
    <w:rsid w:val="00196622"/>
    <w:rsid w:val="00197E4A"/>
    <w:rsid w:val="001A08BC"/>
    <w:rsid w:val="001B25AE"/>
    <w:rsid w:val="001B3120"/>
    <w:rsid w:val="001B6318"/>
    <w:rsid w:val="001C2076"/>
    <w:rsid w:val="001C49CE"/>
    <w:rsid w:val="001D550C"/>
    <w:rsid w:val="001E278E"/>
    <w:rsid w:val="001F0020"/>
    <w:rsid w:val="001F4619"/>
    <w:rsid w:val="00201058"/>
    <w:rsid w:val="00201A83"/>
    <w:rsid w:val="0020347C"/>
    <w:rsid w:val="00204815"/>
    <w:rsid w:val="00205107"/>
    <w:rsid w:val="00213B49"/>
    <w:rsid w:val="002206E5"/>
    <w:rsid w:val="00223C30"/>
    <w:rsid w:val="0023415C"/>
    <w:rsid w:val="00237030"/>
    <w:rsid w:val="0024420B"/>
    <w:rsid w:val="00246F13"/>
    <w:rsid w:val="0025383D"/>
    <w:rsid w:val="0025583B"/>
    <w:rsid w:val="00262C02"/>
    <w:rsid w:val="00264955"/>
    <w:rsid w:val="0027087D"/>
    <w:rsid w:val="00281A21"/>
    <w:rsid w:val="00281F2F"/>
    <w:rsid w:val="0029532D"/>
    <w:rsid w:val="002A2B97"/>
    <w:rsid w:val="002B52C9"/>
    <w:rsid w:val="002B5C5A"/>
    <w:rsid w:val="002C4BF2"/>
    <w:rsid w:val="002E06C3"/>
    <w:rsid w:val="002E77CD"/>
    <w:rsid w:val="003004E9"/>
    <w:rsid w:val="003030B5"/>
    <w:rsid w:val="00307D1B"/>
    <w:rsid w:val="00313E43"/>
    <w:rsid w:val="00326BEC"/>
    <w:rsid w:val="003322D2"/>
    <w:rsid w:val="00337FD2"/>
    <w:rsid w:val="0036210A"/>
    <w:rsid w:val="003710DD"/>
    <w:rsid w:val="0037175F"/>
    <w:rsid w:val="00381590"/>
    <w:rsid w:val="00381B5F"/>
    <w:rsid w:val="00387635"/>
    <w:rsid w:val="00395790"/>
    <w:rsid w:val="003B0735"/>
    <w:rsid w:val="003B0B53"/>
    <w:rsid w:val="003B0D84"/>
    <w:rsid w:val="003B625A"/>
    <w:rsid w:val="003D0AA5"/>
    <w:rsid w:val="003E0926"/>
    <w:rsid w:val="003E3F4F"/>
    <w:rsid w:val="003E553C"/>
    <w:rsid w:val="003E6A59"/>
    <w:rsid w:val="003F0207"/>
    <w:rsid w:val="003F1246"/>
    <w:rsid w:val="00404A83"/>
    <w:rsid w:val="004152DD"/>
    <w:rsid w:val="00432A72"/>
    <w:rsid w:val="00453454"/>
    <w:rsid w:val="00465390"/>
    <w:rsid w:val="00467C4E"/>
    <w:rsid w:val="00473812"/>
    <w:rsid w:val="0048011E"/>
    <w:rsid w:val="00483D9D"/>
    <w:rsid w:val="00494D6F"/>
    <w:rsid w:val="004C05A1"/>
    <w:rsid w:val="004C39F3"/>
    <w:rsid w:val="004D2048"/>
    <w:rsid w:val="004D6C62"/>
    <w:rsid w:val="004F42EE"/>
    <w:rsid w:val="0050065E"/>
    <w:rsid w:val="00524D16"/>
    <w:rsid w:val="0055039D"/>
    <w:rsid w:val="00554453"/>
    <w:rsid w:val="00554BFE"/>
    <w:rsid w:val="00564650"/>
    <w:rsid w:val="00572F4B"/>
    <w:rsid w:val="0057309B"/>
    <w:rsid w:val="00573AA0"/>
    <w:rsid w:val="0057493F"/>
    <w:rsid w:val="005947B3"/>
    <w:rsid w:val="005B1DFF"/>
    <w:rsid w:val="005B4C21"/>
    <w:rsid w:val="005E0F18"/>
    <w:rsid w:val="00613576"/>
    <w:rsid w:val="006202C7"/>
    <w:rsid w:val="00620FC6"/>
    <w:rsid w:val="00634A68"/>
    <w:rsid w:val="006405F3"/>
    <w:rsid w:val="00643F06"/>
    <w:rsid w:val="00645D6F"/>
    <w:rsid w:val="00645E32"/>
    <w:rsid w:val="00650441"/>
    <w:rsid w:val="006510B2"/>
    <w:rsid w:val="00655EE5"/>
    <w:rsid w:val="00661776"/>
    <w:rsid w:val="006630F4"/>
    <w:rsid w:val="00677058"/>
    <w:rsid w:val="006930F9"/>
    <w:rsid w:val="006A6997"/>
    <w:rsid w:val="006B5434"/>
    <w:rsid w:val="006C65BA"/>
    <w:rsid w:val="006D0C2E"/>
    <w:rsid w:val="006D3AC8"/>
    <w:rsid w:val="006E3131"/>
    <w:rsid w:val="006F4A97"/>
    <w:rsid w:val="007004C9"/>
    <w:rsid w:val="00701E9C"/>
    <w:rsid w:val="0070559D"/>
    <w:rsid w:val="00722E8C"/>
    <w:rsid w:val="007303D9"/>
    <w:rsid w:val="00731D5A"/>
    <w:rsid w:val="007329DE"/>
    <w:rsid w:val="00743586"/>
    <w:rsid w:val="00754A16"/>
    <w:rsid w:val="00755BE2"/>
    <w:rsid w:val="00760E1F"/>
    <w:rsid w:val="007726CE"/>
    <w:rsid w:val="00774101"/>
    <w:rsid w:val="00774A9D"/>
    <w:rsid w:val="00775E86"/>
    <w:rsid w:val="00796D00"/>
    <w:rsid w:val="007A6243"/>
    <w:rsid w:val="007B1F9E"/>
    <w:rsid w:val="007C716C"/>
    <w:rsid w:val="007D6E64"/>
    <w:rsid w:val="007E300B"/>
    <w:rsid w:val="007E57CD"/>
    <w:rsid w:val="007F6514"/>
    <w:rsid w:val="00803037"/>
    <w:rsid w:val="00804B75"/>
    <w:rsid w:val="008053CC"/>
    <w:rsid w:val="00806012"/>
    <w:rsid w:val="00811674"/>
    <w:rsid w:val="00812ED5"/>
    <w:rsid w:val="0081327D"/>
    <w:rsid w:val="00821155"/>
    <w:rsid w:val="00823389"/>
    <w:rsid w:val="00842387"/>
    <w:rsid w:val="00847F76"/>
    <w:rsid w:val="00852B6B"/>
    <w:rsid w:val="00863EF9"/>
    <w:rsid w:val="00864A23"/>
    <w:rsid w:val="00866DC8"/>
    <w:rsid w:val="00874117"/>
    <w:rsid w:val="00875AC6"/>
    <w:rsid w:val="00885980"/>
    <w:rsid w:val="008901DB"/>
    <w:rsid w:val="008A0B98"/>
    <w:rsid w:val="008A3E3E"/>
    <w:rsid w:val="008C5C7E"/>
    <w:rsid w:val="008C610E"/>
    <w:rsid w:val="008E4238"/>
    <w:rsid w:val="00911EBF"/>
    <w:rsid w:val="0091241D"/>
    <w:rsid w:val="009235D7"/>
    <w:rsid w:val="00926CA2"/>
    <w:rsid w:val="00934FE8"/>
    <w:rsid w:val="009405C4"/>
    <w:rsid w:val="009414AE"/>
    <w:rsid w:val="0094564C"/>
    <w:rsid w:val="0095120B"/>
    <w:rsid w:val="00956984"/>
    <w:rsid w:val="0097446C"/>
    <w:rsid w:val="00975990"/>
    <w:rsid w:val="00981C57"/>
    <w:rsid w:val="00992D18"/>
    <w:rsid w:val="009A0461"/>
    <w:rsid w:val="009A339C"/>
    <w:rsid w:val="009B035B"/>
    <w:rsid w:val="009B0EFE"/>
    <w:rsid w:val="009B2DCE"/>
    <w:rsid w:val="009C453C"/>
    <w:rsid w:val="009C570A"/>
    <w:rsid w:val="009C61E4"/>
    <w:rsid w:val="009D4287"/>
    <w:rsid w:val="009D53EA"/>
    <w:rsid w:val="009D7CD8"/>
    <w:rsid w:val="009F7B5D"/>
    <w:rsid w:val="00A05D7E"/>
    <w:rsid w:val="00A31B19"/>
    <w:rsid w:val="00A331E5"/>
    <w:rsid w:val="00A4646D"/>
    <w:rsid w:val="00A50DE2"/>
    <w:rsid w:val="00A56559"/>
    <w:rsid w:val="00A622C6"/>
    <w:rsid w:val="00A67CCC"/>
    <w:rsid w:val="00A70913"/>
    <w:rsid w:val="00A754EF"/>
    <w:rsid w:val="00AA25B6"/>
    <w:rsid w:val="00AB77BF"/>
    <w:rsid w:val="00AC256A"/>
    <w:rsid w:val="00AC6750"/>
    <w:rsid w:val="00B045A5"/>
    <w:rsid w:val="00B0516D"/>
    <w:rsid w:val="00B06348"/>
    <w:rsid w:val="00B1203A"/>
    <w:rsid w:val="00B14C09"/>
    <w:rsid w:val="00B2555C"/>
    <w:rsid w:val="00B34390"/>
    <w:rsid w:val="00B426AF"/>
    <w:rsid w:val="00B455B0"/>
    <w:rsid w:val="00B46BE4"/>
    <w:rsid w:val="00B47C78"/>
    <w:rsid w:val="00B53385"/>
    <w:rsid w:val="00B54B5B"/>
    <w:rsid w:val="00B61DF2"/>
    <w:rsid w:val="00B715B9"/>
    <w:rsid w:val="00B73569"/>
    <w:rsid w:val="00B770C1"/>
    <w:rsid w:val="00B80685"/>
    <w:rsid w:val="00B92643"/>
    <w:rsid w:val="00BA29BB"/>
    <w:rsid w:val="00BA4977"/>
    <w:rsid w:val="00BD6171"/>
    <w:rsid w:val="00BD67C3"/>
    <w:rsid w:val="00BD746D"/>
    <w:rsid w:val="00BE1D91"/>
    <w:rsid w:val="00BF0C29"/>
    <w:rsid w:val="00BF4BFD"/>
    <w:rsid w:val="00C031D9"/>
    <w:rsid w:val="00C03207"/>
    <w:rsid w:val="00C25EB0"/>
    <w:rsid w:val="00C33434"/>
    <w:rsid w:val="00C36018"/>
    <w:rsid w:val="00C61072"/>
    <w:rsid w:val="00C6495A"/>
    <w:rsid w:val="00C67217"/>
    <w:rsid w:val="00C72FDE"/>
    <w:rsid w:val="00C73AAE"/>
    <w:rsid w:val="00C74BCE"/>
    <w:rsid w:val="00C90E42"/>
    <w:rsid w:val="00C91A8E"/>
    <w:rsid w:val="00C927D3"/>
    <w:rsid w:val="00C9469A"/>
    <w:rsid w:val="00CA291A"/>
    <w:rsid w:val="00CA36A2"/>
    <w:rsid w:val="00CB2D35"/>
    <w:rsid w:val="00CB3177"/>
    <w:rsid w:val="00CB4BA8"/>
    <w:rsid w:val="00CC7807"/>
    <w:rsid w:val="00CD0416"/>
    <w:rsid w:val="00CD457C"/>
    <w:rsid w:val="00CE05BD"/>
    <w:rsid w:val="00CF0FBE"/>
    <w:rsid w:val="00CF5494"/>
    <w:rsid w:val="00CF73C5"/>
    <w:rsid w:val="00D049F8"/>
    <w:rsid w:val="00D219E3"/>
    <w:rsid w:val="00D233BA"/>
    <w:rsid w:val="00D5212B"/>
    <w:rsid w:val="00D5245F"/>
    <w:rsid w:val="00D617CA"/>
    <w:rsid w:val="00D6604A"/>
    <w:rsid w:val="00D72790"/>
    <w:rsid w:val="00D73E2F"/>
    <w:rsid w:val="00D75A8C"/>
    <w:rsid w:val="00D76A61"/>
    <w:rsid w:val="00D80166"/>
    <w:rsid w:val="00D9241E"/>
    <w:rsid w:val="00D96311"/>
    <w:rsid w:val="00D96658"/>
    <w:rsid w:val="00DA3E0B"/>
    <w:rsid w:val="00DA680F"/>
    <w:rsid w:val="00DB2525"/>
    <w:rsid w:val="00DB45CA"/>
    <w:rsid w:val="00DE1A84"/>
    <w:rsid w:val="00DF034D"/>
    <w:rsid w:val="00E009FB"/>
    <w:rsid w:val="00E104AD"/>
    <w:rsid w:val="00E167A5"/>
    <w:rsid w:val="00E221CD"/>
    <w:rsid w:val="00E22B8F"/>
    <w:rsid w:val="00E23CC9"/>
    <w:rsid w:val="00E36C7E"/>
    <w:rsid w:val="00E371CA"/>
    <w:rsid w:val="00E42998"/>
    <w:rsid w:val="00E623D7"/>
    <w:rsid w:val="00E67083"/>
    <w:rsid w:val="00E84AC0"/>
    <w:rsid w:val="00E84C51"/>
    <w:rsid w:val="00E90651"/>
    <w:rsid w:val="00E90A7A"/>
    <w:rsid w:val="00E946A5"/>
    <w:rsid w:val="00E97562"/>
    <w:rsid w:val="00EA1F34"/>
    <w:rsid w:val="00EB0B2A"/>
    <w:rsid w:val="00EB79BA"/>
    <w:rsid w:val="00ED236C"/>
    <w:rsid w:val="00ED4203"/>
    <w:rsid w:val="00EE3D5E"/>
    <w:rsid w:val="00EE70F4"/>
    <w:rsid w:val="00EE7478"/>
    <w:rsid w:val="00EF48EB"/>
    <w:rsid w:val="00F040E0"/>
    <w:rsid w:val="00F067CC"/>
    <w:rsid w:val="00F35175"/>
    <w:rsid w:val="00F429F2"/>
    <w:rsid w:val="00F469FA"/>
    <w:rsid w:val="00F5077C"/>
    <w:rsid w:val="00F61077"/>
    <w:rsid w:val="00F735B5"/>
    <w:rsid w:val="00F84D75"/>
    <w:rsid w:val="00F85ACF"/>
    <w:rsid w:val="00F872E1"/>
    <w:rsid w:val="00FA4286"/>
    <w:rsid w:val="00FA4B6B"/>
    <w:rsid w:val="00FD2A6E"/>
    <w:rsid w:val="00FF1970"/>
    <w:rsid w:val="1DE45B5F"/>
    <w:rsid w:val="29F163B0"/>
    <w:rsid w:val="3D1BE5A5"/>
    <w:rsid w:val="48F06CD5"/>
    <w:rsid w:val="50A2A37C"/>
    <w:rsid w:val="5FFA3072"/>
    <w:rsid w:val="6970B36C"/>
    <w:rsid w:val="6B553B81"/>
    <w:rsid w:val="7CEFE3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BAE7"/>
  <w15:docId w15:val="{5EFC965A-F5C3-4E57-8A1F-131D2B58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Indent"/>
    <w:link w:val="Heading5Char"/>
    <w:qFormat/>
    <w:rsid w:val="00B455B0"/>
    <w:pPr>
      <w:overflowPunct w:val="0"/>
      <w:autoSpaceDE w:val="0"/>
      <w:autoSpaceDN w:val="0"/>
      <w:adjustRightInd w:val="0"/>
      <w:spacing w:after="0" w:line="240" w:lineRule="auto"/>
      <w:ind w:left="720"/>
      <w:textAlignment w:val="baseline"/>
      <w:outlineLvl w:val="4"/>
    </w:pPr>
    <w:rPr>
      <w:rFonts w:ascii="Arial" w:eastAsia="Times New Roman" w:hAnsi="Arial" w:cs="Times New Roman"/>
      <w:b/>
      <w:sz w:val="23"/>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51"/>
    <w:pPr>
      <w:ind w:left="720"/>
      <w:contextualSpacing/>
    </w:pPr>
  </w:style>
  <w:style w:type="table" w:styleId="TableGrid">
    <w:name w:val="Table Grid"/>
    <w:basedOn w:val="TableNormal"/>
    <w:uiPriority w:val="59"/>
    <w:rsid w:val="00E9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
    <w:name w:val="n"/>
    <w:basedOn w:val="Normal"/>
    <w:link w:val="nChar"/>
    <w:rsid w:val="00956984"/>
    <w:pPr>
      <w:tabs>
        <w:tab w:val="num" w:pos="794"/>
        <w:tab w:val="right" w:pos="8959"/>
      </w:tabs>
      <w:overflowPunct w:val="0"/>
      <w:autoSpaceDE w:val="0"/>
      <w:autoSpaceDN w:val="0"/>
      <w:adjustRightInd w:val="0"/>
      <w:spacing w:before="240" w:after="0" w:line="240" w:lineRule="auto"/>
      <w:ind w:left="794" w:hanging="794"/>
      <w:jc w:val="both"/>
      <w:textAlignment w:val="baseline"/>
    </w:pPr>
    <w:rPr>
      <w:rFonts w:ascii="Arial" w:eastAsia="Times New Roman" w:hAnsi="Arial" w:cs="Times New Roman"/>
      <w:sz w:val="23"/>
      <w:szCs w:val="20"/>
    </w:rPr>
  </w:style>
  <w:style w:type="character" w:customStyle="1" w:styleId="nChar">
    <w:name w:val="n Char"/>
    <w:basedOn w:val="DefaultParagraphFont"/>
    <w:link w:val="n"/>
    <w:rsid w:val="00956984"/>
    <w:rPr>
      <w:rFonts w:ascii="Arial" w:eastAsia="Times New Roman" w:hAnsi="Arial" w:cs="Times New Roman"/>
      <w:sz w:val="23"/>
      <w:szCs w:val="20"/>
    </w:rPr>
  </w:style>
  <w:style w:type="paragraph" w:styleId="BalloonText">
    <w:name w:val="Balloon Text"/>
    <w:basedOn w:val="Normal"/>
    <w:link w:val="BalloonTextChar"/>
    <w:uiPriority w:val="99"/>
    <w:semiHidden/>
    <w:unhideWhenUsed/>
    <w:rsid w:val="00806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012"/>
    <w:rPr>
      <w:rFonts w:ascii="Tahoma" w:hAnsi="Tahoma" w:cs="Tahoma"/>
      <w:sz w:val="16"/>
      <w:szCs w:val="16"/>
    </w:rPr>
  </w:style>
  <w:style w:type="paragraph" w:customStyle="1" w:styleId="Intro">
    <w:name w:val="Intro"/>
    <w:basedOn w:val="Title"/>
    <w:next w:val="Normal"/>
    <w:link w:val="IntroChar"/>
    <w:uiPriority w:val="99"/>
    <w:rsid w:val="005B4C21"/>
    <w:pPr>
      <w:tabs>
        <w:tab w:val="right" w:pos="8959"/>
      </w:tabs>
      <w:overflowPunct w:val="0"/>
      <w:autoSpaceDE w:val="0"/>
      <w:autoSpaceDN w:val="0"/>
      <w:adjustRightInd w:val="0"/>
      <w:spacing w:before="960"/>
      <w:contextualSpacing w:val="0"/>
      <w:jc w:val="both"/>
      <w:textAlignment w:val="baseline"/>
    </w:pPr>
    <w:rPr>
      <w:rFonts w:ascii="Arial" w:eastAsia="Times New Roman" w:hAnsi="Arial" w:cs="Times New Roman"/>
      <w:b/>
      <w:spacing w:val="0"/>
      <w:kern w:val="0"/>
      <w:sz w:val="32"/>
      <w:szCs w:val="20"/>
    </w:rPr>
  </w:style>
  <w:style w:type="paragraph" w:customStyle="1" w:styleId="Onlyuseindocheader-doctitle">
    <w:name w:val="Only use in doc header - doc title"/>
    <w:link w:val="Onlyuseindocheader-doctitleChar"/>
    <w:qFormat/>
    <w:rsid w:val="005B4C21"/>
    <w:pPr>
      <w:spacing w:before="60" w:after="60" w:line="600" w:lineRule="exact"/>
    </w:pPr>
    <w:rPr>
      <w:rFonts w:ascii="Arial Black" w:eastAsia="Times New Roman" w:hAnsi="Arial Black" w:cs="Times New Roman"/>
      <w:spacing w:val="-20"/>
      <w:sz w:val="64"/>
      <w:szCs w:val="64"/>
      <w:lang w:val="en-US"/>
    </w:rPr>
  </w:style>
  <w:style w:type="paragraph" w:customStyle="1" w:styleId="Onlyuseindocheader-categorystyle">
    <w:name w:val="Only use in doc header - category style"/>
    <w:qFormat/>
    <w:rsid w:val="005B4C21"/>
    <w:pPr>
      <w:spacing w:after="0" w:line="240" w:lineRule="auto"/>
    </w:pPr>
    <w:rPr>
      <w:rFonts w:ascii="Arial" w:eastAsia="Times New Roman" w:hAnsi="Arial" w:cs="Times New Roman"/>
      <w:b/>
      <w:noProof/>
      <w:color w:val="FF0000"/>
      <w:lang w:eastAsia="en-GB"/>
    </w:rPr>
  </w:style>
  <w:style w:type="paragraph" w:customStyle="1" w:styleId="Onlyuseindocheader-subtitleifneeded">
    <w:name w:val="Only use in doc header  - subtitle if needed"/>
    <w:link w:val="Onlyuseindocheader-subtitleifneededChar"/>
    <w:qFormat/>
    <w:rsid w:val="005B4C21"/>
    <w:pPr>
      <w:spacing w:after="0" w:line="240" w:lineRule="auto"/>
    </w:pPr>
    <w:rPr>
      <w:rFonts w:ascii="Arial" w:eastAsia="Times New Roman" w:hAnsi="Arial" w:cs="Times New Roman"/>
      <w:b/>
      <w:sz w:val="26"/>
      <w:szCs w:val="26"/>
      <w:lang w:val="en-US"/>
    </w:rPr>
  </w:style>
  <w:style w:type="character" w:customStyle="1" w:styleId="Onlyuseindocheader-doctitleChar">
    <w:name w:val="Only use in doc header - doc title Char"/>
    <w:basedOn w:val="DefaultParagraphFont"/>
    <w:link w:val="Onlyuseindocheader-doctitle"/>
    <w:rsid w:val="005B4C21"/>
    <w:rPr>
      <w:rFonts w:ascii="Arial Black" w:eastAsia="Times New Roman" w:hAnsi="Arial Black" w:cs="Times New Roman"/>
      <w:spacing w:val="-20"/>
      <w:sz w:val="64"/>
      <w:szCs w:val="64"/>
      <w:lang w:val="en-US"/>
    </w:rPr>
  </w:style>
  <w:style w:type="character" w:customStyle="1" w:styleId="Onlyuseindocheader-subtitleifneededChar">
    <w:name w:val="Only use in doc header  - subtitle if needed Char"/>
    <w:basedOn w:val="DefaultParagraphFont"/>
    <w:link w:val="Onlyuseindocheader-subtitleifneeded"/>
    <w:rsid w:val="005B4C21"/>
    <w:rPr>
      <w:rFonts w:ascii="Arial" w:eastAsia="Times New Roman" w:hAnsi="Arial" w:cs="Times New Roman"/>
      <w:b/>
      <w:sz w:val="26"/>
      <w:szCs w:val="26"/>
      <w:lang w:val="en-US"/>
    </w:rPr>
  </w:style>
  <w:style w:type="paragraph" w:styleId="Title">
    <w:name w:val="Title"/>
    <w:basedOn w:val="Normal"/>
    <w:next w:val="Normal"/>
    <w:link w:val="TitleChar"/>
    <w:uiPriority w:val="10"/>
    <w:qFormat/>
    <w:rsid w:val="005B4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C2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B4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C21"/>
  </w:style>
  <w:style w:type="paragraph" w:styleId="Footer">
    <w:name w:val="footer"/>
    <w:basedOn w:val="Normal"/>
    <w:link w:val="FooterChar"/>
    <w:uiPriority w:val="99"/>
    <w:unhideWhenUsed/>
    <w:rsid w:val="005B4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C21"/>
  </w:style>
  <w:style w:type="character" w:customStyle="1" w:styleId="Heading5Char">
    <w:name w:val="Heading 5 Char"/>
    <w:basedOn w:val="DefaultParagraphFont"/>
    <w:link w:val="Heading5"/>
    <w:rsid w:val="00B455B0"/>
    <w:rPr>
      <w:rFonts w:ascii="Arial" w:eastAsia="Times New Roman" w:hAnsi="Arial" w:cs="Times New Roman"/>
      <w:b/>
      <w:sz w:val="23"/>
      <w:szCs w:val="20"/>
    </w:rPr>
  </w:style>
  <w:style w:type="paragraph" w:styleId="NormalIndent">
    <w:name w:val="Normal Indent"/>
    <w:basedOn w:val="Normal"/>
    <w:rsid w:val="00B455B0"/>
    <w:pPr>
      <w:overflowPunct w:val="0"/>
      <w:autoSpaceDE w:val="0"/>
      <w:autoSpaceDN w:val="0"/>
      <w:adjustRightInd w:val="0"/>
      <w:spacing w:after="0" w:line="240" w:lineRule="auto"/>
      <w:ind w:left="720"/>
      <w:textAlignment w:val="baseline"/>
    </w:pPr>
    <w:rPr>
      <w:rFonts w:ascii="Arial" w:eastAsia="Times New Roman" w:hAnsi="Arial" w:cs="Times New Roman"/>
      <w:sz w:val="23"/>
      <w:szCs w:val="20"/>
    </w:rPr>
  </w:style>
  <w:style w:type="character" w:customStyle="1" w:styleId="BodytextChar">
    <w:name w:val="Body text Char"/>
    <w:basedOn w:val="DefaultParagraphFont"/>
    <w:link w:val="BodyText1"/>
    <w:rsid w:val="00B455B0"/>
    <w:rPr>
      <w:rFonts w:ascii="Arial" w:hAnsi="Arial"/>
      <w:szCs w:val="24"/>
      <w:lang w:val="en-US"/>
    </w:rPr>
  </w:style>
  <w:style w:type="paragraph" w:customStyle="1" w:styleId="BodyText1">
    <w:name w:val="Body Text1"/>
    <w:link w:val="BodytextChar"/>
    <w:rsid w:val="00B455B0"/>
    <w:pPr>
      <w:spacing w:after="120" w:line="288" w:lineRule="auto"/>
    </w:pPr>
    <w:rPr>
      <w:rFonts w:ascii="Arial" w:hAnsi="Arial"/>
      <w:szCs w:val="24"/>
      <w:lang w:val="en-US"/>
    </w:rPr>
  </w:style>
  <w:style w:type="paragraph" w:customStyle="1" w:styleId="Default">
    <w:name w:val="Default"/>
    <w:rsid w:val="00573AA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rsid w:val="00864A23"/>
    <w:rPr>
      <w:position w:val="6"/>
      <w:sz w:val="16"/>
    </w:rPr>
  </w:style>
  <w:style w:type="paragraph" w:styleId="FootnoteText">
    <w:name w:val="footnote text"/>
    <w:basedOn w:val="Normal"/>
    <w:link w:val="FootnoteTextChar"/>
    <w:rsid w:val="00864A23"/>
    <w:pPr>
      <w:overflowPunct w:val="0"/>
      <w:autoSpaceDE w:val="0"/>
      <w:autoSpaceDN w:val="0"/>
      <w:adjustRightInd w:val="0"/>
      <w:spacing w:after="0" w:line="240" w:lineRule="auto"/>
      <w:textAlignment w:val="baseline"/>
    </w:pPr>
    <w:rPr>
      <w:rFonts w:ascii="Arial" w:eastAsia="Times New Roman" w:hAnsi="Arial" w:cs="Times New Roman"/>
      <w:sz w:val="23"/>
      <w:szCs w:val="20"/>
    </w:rPr>
  </w:style>
  <w:style w:type="character" w:customStyle="1" w:styleId="FootnoteTextChar">
    <w:name w:val="Footnote Text Char"/>
    <w:basedOn w:val="DefaultParagraphFont"/>
    <w:link w:val="FootnoteText"/>
    <w:rsid w:val="00864A23"/>
    <w:rPr>
      <w:rFonts w:ascii="Arial" w:eastAsia="Times New Roman" w:hAnsi="Arial" w:cs="Times New Roman"/>
      <w:sz w:val="23"/>
      <w:szCs w:val="20"/>
    </w:rPr>
  </w:style>
  <w:style w:type="character" w:styleId="Hyperlink">
    <w:name w:val="Hyperlink"/>
    <w:uiPriority w:val="99"/>
    <w:rsid w:val="00864A23"/>
    <w:rPr>
      <w:color w:val="0000FF"/>
      <w:u w:val="single"/>
    </w:rPr>
  </w:style>
  <w:style w:type="character" w:customStyle="1" w:styleId="IntroChar">
    <w:name w:val="Intro Char"/>
    <w:basedOn w:val="TitleChar"/>
    <w:link w:val="Intro"/>
    <w:rsid w:val="00107845"/>
    <w:rPr>
      <w:rFonts w:ascii="Arial" w:eastAsia="Times New Roman" w:hAnsi="Arial" w:cs="Times New Roman"/>
      <w:b/>
      <w:spacing w:val="-10"/>
      <w:kern w:val="28"/>
      <w:sz w:val="32"/>
      <w:szCs w:val="20"/>
    </w:rPr>
  </w:style>
  <w:style w:type="character" w:customStyle="1" w:styleId="normaltextrun">
    <w:name w:val="normaltextrun"/>
    <w:basedOn w:val="DefaultParagraphFont"/>
    <w:rsid w:val="00107845"/>
  </w:style>
  <w:style w:type="character" w:customStyle="1" w:styleId="eop">
    <w:name w:val="eop"/>
    <w:basedOn w:val="DefaultParagraphFont"/>
    <w:rsid w:val="00107845"/>
  </w:style>
  <w:style w:type="character" w:styleId="CommentReference">
    <w:name w:val="annotation reference"/>
    <w:basedOn w:val="DefaultParagraphFont"/>
    <w:uiPriority w:val="99"/>
    <w:semiHidden/>
    <w:unhideWhenUsed/>
    <w:rsid w:val="006C65BA"/>
    <w:rPr>
      <w:sz w:val="16"/>
      <w:szCs w:val="16"/>
    </w:rPr>
  </w:style>
  <w:style w:type="paragraph" w:styleId="CommentText">
    <w:name w:val="annotation text"/>
    <w:basedOn w:val="Normal"/>
    <w:link w:val="CommentTextChar"/>
    <w:uiPriority w:val="99"/>
    <w:unhideWhenUsed/>
    <w:rsid w:val="006C65BA"/>
    <w:pPr>
      <w:spacing w:line="240" w:lineRule="auto"/>
    </w:pPr>
    <w:rPr>
      <w:sz w:val="20"/>
      <w:szCs w:val="20"/>
    </w:rPr>
  </w:style>
  <w:style w:type="character" w:customStyle="1" w:styleId="CommentTextChar">
    <w:name w:val="Comment Text Char"/>
    <w:basedOn w:val="DefaultParagraphFont"/>
    <w:link w:val="CommentText"/>
    <w:uiPriority w:val="99"/>
    <w:rsid w:val="006C65BA"/>
    <w:rPr>
      <w:sz w:val="20"/>
      <w:szCs w:val="20"/>
    </w:rPr>
  </w:style>
  <w:style w:type="paragraph" w:styleId="CommentSubject">
    <w:name w:val="annotation subject"/>
    <w:basedOn w:val="CommentText"/>
    <w:next w:val="CommentText"/>
    <w:link w:val="CommentSubjectChar"/>
    <w:uiPriority w:val="99"/>
    <w:semiHidden/>
    <w:unhideWhenUsed/>
    <w:rsid w:val="006C65BA"/>
    <w:rPr>
      <w:b/>
      <w:bCs/>
    </w:rPr>
  </w:style>
  <w:style w:type="character" w:customStyle="1" w:styleId="CommentSubjectChar">
    <w:name w:val="Comment Subject Char"/>
    <w:basedOn w:val="CommentTextChar"/>
    <w:link w:val="CommentSubject"/>
    <w:uiPriority w:val="99"/>
    <w:semiHidden/>
    <w:rsid w:val="006C65BA"/>
    <w:rPr>
      <w:b/>
      <w:bCs/>
      <w:sz w:val="20"/>
      <w:szCs w:val="20"/>
    </w:rPr>
  </w:style>
  <w:style w:type="paragraph" w:styleId="Revision">
    <w:name w:val="Revision"/>
    <w:hidden/>
    <w:uiPriority w:val="99"/>
    <w:semiHidden/>
    <w:rsid w:val="000F6F65"/>
    <w:pPr>
      <w:spacing w:after="0" w:line="240" w:lineRule="auto"/>
    </w:pPr>
  </w:style>
  <w:style w:type="character" w:styleId="FollowedHyperlink">
    <w:name w:val="FollowedHyperlink"/>
    <w:basedOn w:val="DefaultParagraphFont"/>
    <w:uiPriority w:val="99"/>
    <w:semiHidden/>
    <w:unhideWhenUsed/>
    <w:rsid w:val="00C61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portscotland.org.uk/freedom-of-information/foidocuments/public-services-reform-scotland-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6BE83503C28F42985AED1D7E6005E6" ma:contentTypeVersion="31" ma:contentTypeDescription="Create a new document." ma:contentTypeScope="" ma:versionID="f5480356b600202091ec3fe857f3454a">
  <xsd:schema xmlns:xsd="http://www.w3.org/2001/XMLSchema" xmlns:xs="http://www.w3.org/2001/XMLSchema" xmlns:p="http://schemas.microsoft.com/office/2006/metadata/properties" xmlns:ns2="dbb8eb13-8159-49c5-b55e-052e4280298e" xmlns:ns3="3d1832c6-e674-4727-9355-4a4275db6b33" targetNamespace="http://schemas.microsoft.com/office/2006/metadata/properties" ma:root="true" ma:fieldsID="d20fb7f7197bc0b4b4ff31c52c6ef77c" ns2:_="" ns3:_="">
    <xsd:import namespace="dbb8eb13-8159-49c5-b55e-052e4280298e"/>
    <xsd:import namespace="3d1832c6-e674-4727-9355-4a4275db6b33"/>
    <xsd:element name="properties">
      <xsd:complexType>
        <xsd:sequence>
          <xsd:element name="documentManagement">
            <xsd:complexType>
              <xsd:all>
                <xsd:element ref="ns2:Expired" minOccurs="0"/>
                <xsd:element ref="ns2:_dlc_DocIdPersistId" minOccurs="0"/>
                <xsd:element ref="ns2:_dlc_DocId" minOccurs="0"/>
                <xsd:element ref="ns2:_dlc_DocIdUr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Expired" ma:index="2" nillable="true" ma:displayName="Expired" ma:default="0" ma:internalName="Expired" ma:readOnly="false">
      <xsd:simpleType>
        <xsd:restriction base="dms:Boolean"/>
      </xsd:simpleType>
    </xsd:element>
    <xsd:element name="_dlc_DocIdPersistId" ma:index="5" nillable="true" ma:displayName="Persist ID" ma:description="Keep ID on add." ma:hidden="true" ma:internalName="_dlc_DocIdPersistId" ma:readOnly="false">
      <xsd:simpleType>
        <xsd:restriction base="dms:Boolea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7cd2fc-db36-4ed0-80cf-462427ea13a7}"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1832c6-e674-4727-9355-4a4275db6b3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pired xmlns="dbb8eb13-8159-49c5-b55e-052e4280298e">false</Expired>
    <_dlc_DocIdPersistId xmlns="dbb8eb13-8159-49c5-b55e-052e4280298e" xsi:nil="true"/>
    <_dlc_DocId xmlns="dbb8eb13-8159-49c5-b55e-052e4280298e">FIN0FINANCE-1479012437-6038</_dlc_DocId>
    <_dlc_DocIdUrl xmlns="dbb8eb13-8159-49c5-b55e-052e4280298e">
      <Url>https://sportscotland.sharepoint.com/sites/FIN_Finance/_layouts/15/DocIdRedir.aspx?ID=FIN0FINANCE-1479012437-6038</Url>
      <Description>FIN0FINANCE-1479012437-6038</Description>
    </_dlc_DocIdUrl>
    <SharedWithUsers xmlns="dbb8eb13-8159-49c5-b55e-052e4280298e">
      <UserInfo>
        <DisplayName>Forbes Dunlop</DisplayName>
        <AccountId>89</AccountId>
        <AccountType/>
      </UserInfo>
      <UserInfo>
        <DisplayName>Simon Taaffe</DisplayName>
        <AccountId>90</AccountId>
        <AccountType/>
      </UserInfo>
      <UserInfo>
        <DisplayName>Neville Cobb</DisplayName>
        <AccountId>32</AccountId>
        <AccountType/>
      </UserInfo>
      <UserInfo>
        <DisplayName>Rachel Barrington</DisplayName>
        <AccountId>896</AccountId>
        <AccountType/>
      </UserInfo>
    </SharedWithUsers>
    <TaxCatchAll xmlns="dbb8eb13-8159-49c5-b55e-052e4280298e" xsi:nil="true"/>
    <lcf76f155ced4ddcb4097134ff3c332f xmlns="3d1832c6-e674-4727-9355-4a4275db6b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9E63DC-14E7-436E-B959-11BB655FD1FD}">
  <ds:schemaRefs>
    <ds:schemaRef ds:uri="http://schemas.openxmlformats.org/officeDocument/2006/bibliography"/>
  </ds:schemaRefs>
</ds:datastoreItem>
</file>

<file path=customXml/itemProps2.xml><?xml version="1.0" encoding="utf-8"?>
<ds:datastoreItem xmlns:ds="http://schemas.openxmlformats.org/officeDocument/2006/customXml" ds:itemID="{71485915-2F12-48C9-89DA-2E94D526A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3d1832c6-e674-4727-9355-4a4275db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F399A-75B6-4F78-9D6D-E2DD128EA0E4}">
  <ds:schemaRefs>
    <ds:schemaRef ds:uri="http://schemas.microsoft.com/sharepoint/events"/>
  </ds:schemaRefs>
</ds:datastoreItem>
</file>

<file path=customXml/itemProps4.xml><?xml version="1.0" encoding="utf-8"?>
<ds:datastoreItem xmlns:ds="http://schemas.openxmlformats.org/officeDocument/2006/customXml" ds:itemID="{9F8D01F4-625B-4684-B765-D34837DDB078}">
  <ds:schemaRefs>
    <ds:schemaRef ds:uri="http://schemas.microsoft.com/sharepoint/v3/contenttype/forms"/>
  </ds:schemaRefs>
</ds:datastoreItem>
</file>

<file path=customXml/itemProps5.xml><?xml version="1.0" encoding="utf-8"?>
<ds:datastoreItem xmlns:ds="http://schemas.openxmlformats.org/officeDocument/2006/customXml" ds:itemID="{A7015B00-563C-458C-ABEE-19F784B66F68}">
  <ds:schemaRefs>
    <ds:schemaRef ds:uri="http://schemas.microsoft.com/office/2006/metadata/properties"/>
    <ds:schemaRef ds:uri="http://schemas.microsoft.com/office/infopath/2007/PartnerControls"/>
    <ds:schemaRef ds:uri="dbb8eb13-8159-49c5-b55e-052e4280298e"/>
    <ds:schemaRef ds:uri="3d1832c6-e674-4727-9355-4a4275db6b33"/>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1186</Words>
  <Characters>6346</Characters>
  <Application>Microsoft Office Word</Application>
  <DocSecurity>0</DocSecurity>
  <Lines>352</Lines>
  <Paragraphs>242</Paragraphs>
  <ScaleCrop>false</ScaleCrop>
  <Company>sportscotland</Company>
  <LinksUpToDate>false</LinksUpToDate>
  <CharactersWithSpaces>7290</CharactersWithSpaces>
  <SharedDoc>false</SharedDoc>
  <HLinks>
    <vt:vector size="6" baseType="variant">
      <vt:variant>
        <vt:i4>2687019</vt:i4>
      </vt:variant>
      <vt:variant>
        <vt:i4>0</vt:i4>
      </vt:variant>
      <vt:variant>
        <vt:i4>0</vt:i4>
      </vt:variant>
      <vt:variant>
        <vt:i4>5</vt:i4>
      </vt:variant>
      <vt:variant>
        <vt:lpwstr>https://sportscotland.org.uk/freedom-of-information/foidocuments/public-services-reform-scotland-act-2010/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PSRA Report</dc:title>
  <dc:subject/>
  <dc:creator>neville.cobb</dc:creator>
  <cp:keywords/>
  <cp:lastModifiedBy>Mark Drummond</cp:lastModifiedBy>
  <cp:revision>22</cp:revision>
  <cp:lastPrinted>2019-01-05T07:19:00Z</cp:lastPrinted>
  <dcterms:created xsi:type="dcterms:W3CDTF">2025-12-02T10:34:00Z</dcterms:created>
  <dcterms:modified xsi:type="dcterms:W3CDTF">2025-12-02T12:19:00Z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0x010100046BE83503C28F42985AED1D7E6005E6</vt:lpwstr>
  </property>
  <property fmtid="{D5CDD505-2E9C-101B-9397-08002B2CF9AE}" pid="3" name="_dlc_policyId">
    <vt:lpwstr>0x0101|-1465434203</vt:lpwstr>
  </property>
  <property fmtid="{D5CDD505-2E9C-101B-9397-08002B2CF9AE}" pid="4" name="ItemRetentionFormula">
    <vt:lpwstr>&lt;formula id="sportscotland"&gt;&lt;/formula&gt;</vt:lpwstr>
  </property>
  <property fmtid="{D5CDD505-2E9C-101B-9397-08002B2CF9AE}" pid="5" name="MediaServiceImageTags">
    <vt:lpwstr/>
  </property>
  <property fmtid="{D5CDD505-2E9C-101B-9397-08002B2CF9AE}" pid="6" name="docLang">
    <vt:lpwstr>en</vt:lpwstr>
  </property>
  <property fmtid="{D5CDD505-2E9C-101B-9397-08002B2CF9AE}" pid="7" name="_dlc_DocIdItemGuid">
    <vt:lpwstr>ee6022ef-8695-4f02-8b9d-11acff475618</vt:lpwstr>
  </property>
</Properties>
</file>