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8A90" w14:textId="77777777" w:rsidR="00D4646C" w:rsidRPr="009C252F" w:rsidRDefault="00D4646C" w:rsidP="00D4646C">
      <w:pPr>
        <w:rPr>
          <w:rFonts w:ascii="Arial" w:hAnsi="Arial" w:cs="Arial"/>
          <w:b/>
          <w:sz w:val="20"/>
          <w:szCs w:val="20"/>
          <w:u w:val="single"/>
        </w:rPr>
      </w:pPr>
      <w:r w:rsidRPr="009C252F">
        <w:rPr>
          <w:rFonts w:ascii="Arial" w:hAnsi="Arial" w:cs="Arial"/>
          <w:b/>
          <w:sz w:val="20"/>
          <w:szCs w:val="20"/>
          <w:u w:val="single"/>
        </w:rPr>
        <w:t>JOB PROFILE</w:t>
      </w:r>
    </w:p>
    <w:p w14:paraId="739375C6" w14:textId="77777777" w:rsidR="00D4646C" w:rsidRPr="009C252F" w:rsidRDefault="00D4646C" w:rsidP="00D4646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523"/>
        <w:gridCol w:w="1467"/>
        <w:gridCol w:w="3542"/>
      </w:tblGrid>
      <w:tr w:rsidR="00D4646C" w:rsidRPr="009C252F" w14:paraId="049A187E" w14:textId="77777777" w:rsidTr="006C6F32">
        <w:tc>
          <w:tcPr>
            <w:tcW w:w="1101" w:type="dxa"/>
          </w:tcPr>
          <w:p w14:paraId="7B1A275C" w14:textId="77777777" w:rsidR="00D4646C" w:rsidRPr="009C252F" w:rsidRDefault="00D4646C" w:rsidP="006C6F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630" w:type="dxa"/>
          </w:tcPr>
          <w:p w14:paraId="3564ED22" w14:textId="701B8DA8" w:rsidR="00D4646C" w:rsidRPr="009C252F" w:rsidRDefault="004549FA" w:rsidP="006C6F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Manager</w:t>
            </w:r>
          </w:p>
        </w:tc>
        <w:tc>
          <w:tcPr>
            <w:tcW w:w="1473" w:type="dxa"/>
          </w:tcPr>
          <w:p w14:paraId="7BE9FCCD" w14:textId="77777777" w:rsidR="00D4646C" w:rsidRPr="009C252F" w:rsidRDefault="00D4646C" w:rsidP="006C6F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</w:p>
        </w:tc>
        <w:tc>
          <w:tcPr>
            <w:tcW w:w="3650" w:type="dxa"/>
          </w:tcPr>
          <w:p w14:paraId="5A94414D" w14:textId="77777777" w:rsidR="00D4646C" w:rsidRPr="009C252F" w:rsidRDefault="00D4646C" w:rsidP="006C6F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Head of Human Resources</w:t>
            </w:r>
          </w:p>
        </w:tc>
      </w:tr>
      <w:tr w:rsidR="00D4646C" w:rsidRPr="009C252F" w14:paraId="74220C00" w14:textId="77777777" w:rsidTr="006C6F32">
        <w:tc>
          <w:tcPr>
            <w:tcW w:w="1101" w:type="dxa"/>
          </w:tcPr>
          <w:p w14:paraId="26AA545F" w14:textId="77777777" w:rsidR="00D4646C" w:rsidRPr="009C252F" w:rsidRDefault="00D4646C" w:rsidP="006C6F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  <w:tc>
          <w:tcPr>
            <w:tcW w:w="3630" w:type="dxa"/>
          </w:tcPr>
          <w:p w14:paraId="6F7375A2" w14:textId="77777777" w:rsidR="00D4646C" w:rsidRPr="009C252F" w:rsidRDefault="00D4646C" w:rsidP="006C6F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Corporate Services</w:t>
            </w:r>
          </w:p>
        </w:tc>
        <w:tc>
          <w:tcPr>
            <w:tcW w:w="1473" w:type="dxa"/>
          </w:tcPr>
          <w:p w14:paraId="3B74BFBD" w14:textId="77777777" w:rsidR="00D4646C" w:rsidRPr="009C252F" w:rsidRDefault="00D4646C" w:rsidP="006C6F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3650" w:type="dxa"/>
          </w:tcPr>
          <w:p w14:paraId="08EC811E" w14:textId="77777777" w:rsidR="00D4646C" w:rsidRPr="009C252F" w:rsidRDefault="00D4646C" w:rsidP="006C6F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Human Resources</w:t>
            </w:r>
          </w:p>
        </w:tc>
      </w:tr>
    </w:tbl>
    <w:p w14:paraId="59334D5E" w14:textId="77777777" w:rsidR="00D4646C" w:rsidRPr="009C252F" w:rsidRDefault="00D4646C" w:rsidP="00D4646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646C" w:rsidRPr="009C252F" w14:paraId="4E934F39" w14:textId="77777777" w:rsidTr="006C6F32">
        <w:tc>
          <w:tcPr>
            <w:tcW w:w="9889" w:type="dxa"/>
            <w:shd w:val="clear" w:color="auto" w:fill="D9D9D9" w:themeFill="background1" w:themeFillShade="D9"/>
          </w:tcPr>
          <w:p w14:paraId="202BE23F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</w:tc>
      </w:tr>
      <w:tr w:rsidR="00D4646C" w:rsidRPr="009C252F" w14:paraId="0A1EEDA7" w14:textId="77777777" w:rsidTr="006C6F32">
        <w:trPr>
          <w:trHeight w:val="1032"/>
        </w:trPr>
        <w:tc>
          <w:tcPr>
            <w:tcW w:w="9889" w:type="dxa"/>
          </w:tcPr>
          <w:p w14:paraId="107F990B" w14:textId="0DF3593F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To lead and manage the operational delivery of </w:t>
            </w:r>
            <w:r w:rsidR="004549F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91F96">
              <w:rPr>
                <w:rFonts w:ascii="Arial" w:hAnsi="Arial" w:cs="Arial"/>
                <w:sz w:val="20"/>
                <w:szCs w:val="20"/>
              </w:rPr>
              <w:t xml:space="preserve">Corporate and Regional Office Estate including 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Health and Safety, Office </w:t>
            </w:r>
            <w:r w:rsidR="00391F96">
              <w:rPr>
                <w:rFonts w:ascii="Arial" w:hAnsi="Arial" w:cs="Arial"/>
                <w:sz w:val="20"/>
                <w:szCs w:val="20"/>
              </w:rPr>
              <w:t>Facilities</w:t>
            </w:r>
            <w:r w:rsidR="00391F96" w:rsidRPr="009C2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and Sustainability and work with managers at all levels to develop and implement related strategies and initiatives. </w:t>
            </w:r>
            <w:r w:rsidRPr="009C252F">
              <w:rPr>
                <w:rFonts w:ascii="Arial" w:hAnsi="Arial" w:cs="Arial"/>
                <w:sz w:val="20"/>
                <w:szCs w:val="20"/>
              </w:rPr>
              <w:br/>
            </w:r>
            <w:r w:rsidRPr="009C252F">
              <w:rPr>
                <w:rFonts w:ascii="Arial" w:hAnsi="Arial" w:cs="Arial"/>
                <w:sz w:val="20"/>
                <w:szCs w:val="20"/>
              </w:rPr>
              <w:br/>
              <w:t xml:space="preserve">Working closely with the Head of Human Resources to bridge the gap between operational delivery and strategic direction. </w:t>
            </w:r>
          </w:p>
        </w:tc>
      </w:tr>
    </w:tbl>
    <w:p w14:paraId="5F8FD68D" w14:textId="77777777" w:rsidR="00D4646C" w:rsidRPr="009C252F" w:rsidRDefault="00D4646C" w:rsidP="00D4646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646C" w:rsidRPr="009C252F" w14:paraId="67C277E9" w14:textId="77777777" w:rsidTr="006C6F32">
        <w:tc>
          <w:tcPr>
            <w:tcW w:w="9889" w:type="dxa"/>
            <w:shd w:val="clear" w:color="auto" w:fill="D9D9D9" w:themeFill="background1" w:themeFillShade="D9"/>
          </w:tcPr>
          <w:p w14:paraId="2C26CE3B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Resource Management</w:t>
            </w:r>
          </w:p>
        </w:tc>
      </w:tr>
      <w:tr w:rsidR="00D4646C" w:rsidRPr="009C252F" w14:paraId="519654BC" w14:textId="77777777" w:rsidTr="006C6F32">
        <w:tc>
          <w:tcPr>
            <w:tcW w:w="9889" w:type="dxa"/>
          </w:tcPr>
          <w:p w14:paraId="6846A53F" w14:textId="0A1C95F4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Direct Reports: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  Facilities Officer</w:t>
            </w:r>
            <w:r w:rsidR="001042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C252F">
              <w:rPr>
                <w:rFonts w:ascii="Arial" w:hAnsi="Arial" w:cs="Arial"/>
                <w:sz w:val="20"/>
                <w:szCs w:val="20"/>
              </w:rPr>
              <w:t>Health &amp; Safety Officer</w:t>
            </w:r>
            <w:r w:rsidR="0010426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93E5666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57233" w14:textId="17C3C229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Staff Reporting to Direct Reports: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F3BC2">
              <w:rPr>
                <w:rFonts w:ascii="Arial" w:hAnsi="Arial" w:cs="Arial"/>
                <w:sz w:val="20"/>
                <w:szCs w:val="20"/>
              </w:rPr>
              <w:t>1</w:t>
            </w:r>
            <w:r w:rsidR="004F3BC2" w:rsidRPr="009C2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252F">
              <w:rPr>
                <w:rFonts w:ascii="Arial" w:hAnsi="Arial" w:cs="Arial"/>
                <w:sz w:val="20"/>
                <w:szCs w:val="20"/>
              </w:rPr>
              <w:t>– Team Administrator</w:t>
            </w:r>
          </w:p>
          <w:p w14:paraId="057B0525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0FE28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 xml:space="preserve">Contractors: </w:t>
            </w:r>
            <w:r w:rsidRPr="009C252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EA33AB1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F834C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 xml:space="preserve">Level of Budgetary Responsibility: 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 Responsibility for managing an approved budget and ensuring any variance is agreed by Head of HR before being committed</w:t>
            </w:r>
            <w:r w:rsidRPr="009C252F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  <w:p w14:paraId="078CB30D" w14:textId="77777777" w:rsidR="00D4646C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Delegated Authority Level: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  Level 2 – Authorise purchase orders between £5,000 and £</w:t>
            </w:r>
            <w:r w:rsidR="00BD1C5C">
              <w:rPr>
                <w:rFonts w:ascii="Arial" w:hAnsi="Arial" w:cs="Arial"/>
                <w:sz w:val="20"/>
                <w:szCs w:val="20"/>
              </w:rPr>
              <w:t>30</w:t>
            </w:r>
            <w:r w:rsidRPr="009C252F">
              <w:rPr>
                <w:rFonts w:ascii="Arial" w:hAnsi="Arial" w:cs="Arial"/>
                <w:sz w:val="20"/>
                <w:szCs w:val="20"/>
              </w:rPr>
              <w:t>,000 with Level 3 sign off</w:t>
            </w:r>
          </w:p>
          <w:p w14:paraId="1A12781B" w14:textId="752BE384" w:rsidR="001775EA" w:rsidRPr="009C252F" w:rsidRDefault="001775EA" w:rsidP="006C6F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DA197" w14:textId="77777777" w:rsidR="00D4646C" w:rsidRPr="009C252F" w:rsidRDefault="00D4646C" w:rsidP="00D4646C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646C" w:rsidRPr="009C252F" w14:paraId="4F565122" w14:textId="77777777" w:rsidTr="006C6F32">
        <w:tc>
          <w:tcPr>
            <w:tcW w:w="9889" w:type="dxa"/>
            <w:shd w:val="clear" w:color="auto" w:fill="D9D9D9" w:themeFill="background1" w:themeFillShade="D9"/>
          </w:tcPr>
          <w:p w14:paraId="4A6CE9E8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Key Responsibilities &amp; Accountabilities</w:t>
            </w:r>
          </w:p>
        </w:tc>
      </w:tr>
      <w:tr w:rsidR="00D4646C" w:rsidRPr="009C252F" w14:paraId="23BBB488" w14:textId="77777777" w:rsidTr="006C6F32">
        <w:trPr>
          <w:trHeight w:val="757"/>
        </w:trPr>
        <w:tc>
          <w:tcPr>
            <w:tcW w:w="9889" w:type="dxa"/>
          </w:tcPr>
          <w:p w14:paraId="16FD354F" w14:textId="77777777" w:rsidR="00E60890" w:rsidRDefault="00E60890" w:rsidP="00E60890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CAD7CC5" w14:textId="0C14DA09" w:rsidR="00D4646C" w:rsidRPr="009C252F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To ensure the provision of a high quality, fit for purpose, sustainable office </w:t>
            </w:r>
            <w:r w:rsidR="004B1B49">
              <w:rPr>
                <w:rFonts w:ascii="Arial" w:hAnsi="Arial" w:cs="Arial"/>
                <w:sz w:val="20"/>
                <w:szCs w:val="20"/>
              </w:rPr>
              <w:t xml:space="preserve">and work 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environment for </w:t>
            </w:r>
            <w:r w:rsidRPr="009C252F">
              <w:rPr>
                <w:rFonts w:ascii="Arial" w:hAnsi="Arial" w:cs="Arial"/>
                <w:b/>
                <w:sz w:val="20"/>
                <w:szCs w:val="20"/>
              </w:rPr>
              <w:t>sport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scotland staff and partners within a range of sites across Scotland, including </w:t>
            </w:r>
            <w:r w:rsidR="009538CD">
              <w:rPr>
                <w:rFonts w:ascii="Arial" w:hAnsi="Arial" w:cs="Arial"/>
                <w:sz w:val="20"/>
                <w:szCs w:val="20"/>
              </w:rPr>
              <w:t>in Glasgow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, Stirling and </w:t>
            </w:r>
            <w:r w:rsidR="009538CD">
              <w:rPr>
                <w:rFonts w:ascii="Arial" w:hAnsi="Arial" w:cs="Arial"/>
                <w:sz w:val="20"/>
                <w:szCs w:val="20"/>
              </w:rPr>
              <w:t>R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egional </w:t>
            </w:r>
            <w:r w:rsidR="009538CD">
              <w:rPr>
                <w:rFonts w:ascii="Arial" w:hAnsi="Arial" w:cs="Arial"/>
                <w:sz w:val="20"/>
                <w:szCs w:val="20"/>
              </w:rPr>
              <w:t>O</w:t>
            </w:r>
            <w:r w:rsidRPr="009C252F">
              <w:rPr>
                <w:rFonts w:ascii="Arial" w:hAnsi="Arial" w:cs="Arial"/>
                <w:sz w:val="20"/>
                <w:szCs w:val="20"/>
              </w:rPr>
              <w:t>ffices, including being first point of contact for responding to immediate safety and security risks</w:t>
            </w:r>
            <w:r w:rsidR="008C7C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98591F" w14:textId="77777777" w:rsidR="00D4646C" w:rsidRPr="009C252F" w:rsidRDefault="00D4646C" w:rsidP="006C6F3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D9FE602" w14:textId="12595267" w:rsidR="00D4646C" w:rsidRPr="009C252F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Line management of </w:t>
            </w:r>
            <w:r>
              <w:rPr>
                <w:rFonts w:ascii="Arial" w:hAnsi="Arial" w:cs="Arial"/>
                <w:sz w:val="20"/>
                <w:szCs w:val="20"/>
              </w:rPr>
              <w:t>Health &amp; Safety Officer</w:t>
            </w:r>
            <w:r w:rsidR="0070665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538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Facilities Officer</w:t>
            </w:r>
            <w:r w:rsidR="008C7C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47BC5D" w14:textId="77777777" w:rsidR="00D4646C" w:rsidRPr="009C252F" w:rsidRDefault="00D4646C" w:rsidP="006C6F3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23A645A" w14:textId="4BDDD8F1" w:rsidR="00D4646C" w:rsidRPr="001775EA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5EA">
              <w:rPr>
                <w:rFonts w:ascii="Arial" w:hAnsi="Arial" w:cs="Arial"/>
                <w:sz w:val="20"/>
                <w:szCs w:val="20"/>
              </w:rPr>
              <w:t xml:space="preserve">Responsible for all property </w:t>
            </w:r>
            <w:r w:rsidR="00975C0C" w:rsidRPr="001775EA">
              <w:rPr>
                <w:rFonts w:ascii="Arial" w:hAnsi="Arial" w:cs="Arial"/>
                <w:sz w:val="20"/>
                <w:szCs w:val="20"/>
              </w:rPr>
              <w:t>management</w:t>
            </w:r>
            <w:r w:rsidR="00406241">
              <w:rPr>
                <w:rFonts w:ascii="Arial" w:hAnsi="Arial" w:cs="Arial"/>
                <w:sz w:val="20"/>
                <w:szCs w:val="20"/>
              </w:rPr>
              <w:t xml:space="preserve"> across</w:t>
            </w:r>
            <w:r w:rsidR="00975C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5EA">
              <w:rPr>
                <w:rFonts w:ascii="Arial" w:hAnsi="Arial" w:cs="Arial"/>
                <w:sz w:val="20"/>
                <w:szCs w:val="20"/>
              </w:rPr>
              <w:t>the corporate and regional estate</w:t>
            </w:r>
            <w:r w:rsidR="00975C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8AC27A" w14:textId="77777777" w:rsidR="001775EA" w:rsidRPr="001775EA" w:rsidRDefault="001775EA" w:rsidP="001775E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289F99" w14:textId="4E2AB31E" w:rsidR="00D4646C" w:rsidRPr="009C252F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Estates lead for the corporate </w:t>
            </w:r>
            <w:r w:rsidR="00A47C39">
              <w:rPr>
                <w:rFonts w:ascii="Arial" w:hAnsi="Arial" w:cs="Arial"/>
                <w:sz w:val="20"/>
                <w:szCs w:val="20"/>
              </w:rPr>
              <w:t>and regional estate</w:t>
            </w:r>
            <w:r>
              <w:rPr>
                <w:rFonts w:ascii="Arial" w:hAnsi="Arial" w:cs="Arial"/>
                <w:sz w:val="20"/>
                <w:szCs w:val="20"/>
              </w:rPr>
              <w:t xml:space="preserve">.  Will be expected to contribute to the 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implementation of the Estates Strategy and Action Plan, project management of capital </w:t>
            </w:r>
            <w:r w:rsidR="00DE273E">
              <w:rPr>
                <w:rFonts w:ascii="Arial" w:hAnsi="Arial" w:cs="Arial"/>
                <w:sz w:val="20"/>
                <w:szCs w:val="20"/>
              </w:rPr>
              <w:t>p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rojects/office moves/redesigns, monitoring and reporting </w:t>
            </w:r>
            <w:r>
              <w:rPr>
                <w:rFonts w:ascii="Arial" w:hAnsi="Arial" w:cs="Arial"/>
                <w:sz w:val="20"/>
                <w:szCs w:val="20"/>
              </w:rPr>
              <w:t>via the Estates Strategy Group</w:t>
            </w:r>
            <w:r w:rsidR="008C7C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899CF4" w14:textId="2F64316B" w:rsidR="6316625B" w:rsidRDefault="6316625B" w:rsidP="63166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9D6CACF" w14:textId="18FCB569" w:rsidR="28C14250" w:rsidRPr="009111A4" w:rsidRDefault="28C14250" w:rsidP="6316625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1A4">
              <w:rPr>
                <w:rFonts w:ascii="Arial" w:hAnsi="Arial" w:cs="Arial"/>
                <w:sz w:val="20"/>
                <w:szCs w:val="20"/>
              </w:rPr>
              <w:t>Negotiate and manage lease agreements, licences and access agree</w:t>
            </w:r>
            <w:r w:rsidR="23B77B23" w:rsidRPr="009111A4">
              <w:rPr>
                <w:rFonts w:ascii="Arial" w:hAnsi="Arial" w:cs="Arial"/>
                <w:sz w:val="20"/>
                <w:szCs w:val="20"/>
              </w:rPr>
              <w:t xml:space="preserve">ments throughout the estate. </w:t>
            </w:r>
          </w:p>
          <w:p w14:paraId="027F6E54" w14:textId="77777777" w:rsidR="00D4646C" w:rsidRPr="009C252F" w:rsidRDefault="00D4646C" w:rsidP="006C6F3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DB83367" w14:textId="57265B9E" w:rsidR="0059776B" w:rsidRDefault="00D4646C" w:rsidP="005977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Manage and implement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C252F">
              <w:rPr>
                <w:rFonts w:ascii="Arial" w:hAnsi="Arial" w:cs="Arial"/>
                <w:sz w:val="20"/>
                <w:szCs w:val="20"/>
              </w:rPr>
              <w:t>ecommendations from Estates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Strategy </w:t>
            </w:r>
            <w:r w:rsidRPr="009C252F">
              <w:rPr>
                <w:rFonts w:ascii="Arial" w:hAnsi="Arial" w:cs="Arial"/>
                <w:sz w:val="20"/>
                <w:szCs w:val="20"/>
              </w:rPr>
              <w:t>Group (includes Facility Access), H&amp;S Committee and Procurement Working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remit of role</w:t>
            </w:r>
            <w:r w:rsidR="008C7C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556D35" w14:textId="77777777" w:rsidR="0059776B" w:rsidRPr="0059776B" w:rsidRDefault="0059776B" w:rsidP="005977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9E5E380" w14:textId="145C22F5" w:rsidR="0055293A" w:rsidRDefault="0086029A" w:rsidP="005977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776B">
              <w:rPr>
                <w:rFonts w:ascii="Arial" w:hAnsi="Arial" w:cs="Arial"/>
                <w:sz w:val="20"/>
                <w:szCs w:val="20"/>
              </w:rPr>
              <w:t>Will c</w:t>
            </w:r>
            <w:r w:rsidR="0055293A" w:rsidRPr="0059776B">
              <w:rPr>
                <w:rFonts w:ascii="Arial" w:hAnsi="Arial" w:cs="Arial"/>
                <w:sz w:val="20"/>
                <w:szCs w:val="20"/>
              </w:rPr>
              <w:t>hair</w:t>
            </w:r>
            <w:r w:rsidRPr="0059776B">
              <w:rPr>
                <w:rFonts w:ascii="Arial" w:hAnsi="Arial" w:cs="Arial"/>
                <w:sz w:val="20"/>
                <w:szCs w:val="20"/>
              </w:rPr>
              <w:t xml:space="preserve"> the Estates Operational Group.</w:t>
            </w:r>
          </w:p>
          <w:p w14:paraId="1B71A8DD" w14:textId="77777777" w:rsidR="00071E1F" w:rsidRPr="00E60890" w:rsidRDefault="00071E1F" w:rsidP="00E6089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FD28CD6" w14:textId="4B1BF60F" w:rsidR="00071E1F" w:rsidRPr="0059776B" w:rsidRDefault="00202D14" w:rsidP="005977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Health and Safety for the Corporate and Regional Estate with responsibility for contract management</w:t>
            </w:r>
            <w:r w:rsidR="005F3531">
              <w:rPr>
                <w:rFonts w:ascii="Arial" w:hAnsi="Arial" w:cs="Arial"/>
                <w:sz w:val="20"/>
                <w:szCs w:val="20"/>
              </w:rPr>
              <w:t xml:space="preserve"> of external Health &amp; Safety provider</w:t>
            </w:r>
            <w:r w:rsidR="00F660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98DAAC" w14:textId="77777777" w:rsidR="00D4646C" w:rsidRPr="009C252F" w:rsidRDefault="00D4646C" w:rsidP="631662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FA1A9" w14:textId="77777777" w:rsidR="00D4646C" w:rsidRPr="009C252F" w:rsidRDefault="00D4646C" w:rsidP="006C6F3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769CF65" w14:textId="57FD9D7B" w:rsidR="00D4646C" w:rsidRPr="009C252F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Develop, manage and deliver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reventative &amp;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eactive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aintenance plans (Buildings &amp; Fabric, Office Equipment) in line with agreed budgets for the Corporate </w:t>
            </w:r>
            <w:r w:rsidR="003D3391">
              <w:rPr>
                <w:rFonts w:ascii="Arial" w:hAnsi="Arial" w:cs="Arial"/>
                <w:sz w:val="20"/>
                <w:szCs w:val="20"/>
              </w:rPr>
              <w:t xml:space="preserve">and Regional </w:t>
            </w:r>
            <w:r w:rsidRPr="009C252F">
              <w:rPr>
                <w:rFonts w:ascii="Arial" w:hAnsi="Arial" w:cs="Arial"/>
                <w:sz w:val="20"/>
                <w:szCs w:val="20"/>
              </w:rPr>
              <w:t>Estate</w:t>
            </w:r>
            <w:r w:rsidR="003D33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465166" w14:textId="77777777" w:rsidR="00D4646C" w:rsidRPr="009C252F" w:rsidRDefault="00D4646C" w:rsidP="006C6F3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1AD8BB2" w14:textId="2AE68BDC" w:rsidR="00D4646C" w:rsidRPr="009C252F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Procure and contract manage all Health &amp; Safety, Property Maintenance, Utilities, </w:t>
            </w:r>
            <w:r w:rsidRPr="004667D0">
              <w:rPr>
                <w:rFonts w:ascii="Arial" w:hAnsi="Arial" w:cs="Arial"/>
                <w:sz w:val="20"/>
                <w:szCs w:val="20"/>
              </w:rPr>
              <w:t>Lease</w:t>
            </w:r>
            <w:r w:rsidR="003D3391" w:rsidRPr="004667D0">
              <w:rPr>
                <w:rFonts w:ascii="Arial" w:hAnsi="Arial" w:cs="Arial"/>
                <w:sz w:val="20"/>
                <w:szCs w:val="20"/>
              </w:rPr>
              <w:t xml:space="preserve"> and Access Agreements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, Cleaning &amp; Waste, Legionella, Security / Alarms related contracts to realise efficiencies and economies of scale across the full </w:t>
            </w:r>
            <w:r w:rsidRPr="009C252F">
              <w:rPr>
                <w:rFonts w:ascii="Arial" w:hAnsi="Arial" w:cs="Arial"/>
                <w:bCs/>
                <w:sz w:val="20"/>
                <w:szCs w:val="20"/>
              </w:rPr>
              <w:t xml:space="preserve">Corporate </w:t>
            </w:r>
            <w:r w:rsidR="006B722C">
              <w:rPr>
                <w:rFonts w:ascii="Arial" w:hAnsi="Arial" w:cs="Arial"/>
                <w:bCs/>
                <w:sz w:val="20"/>
                <w:szCs w:val="20"/>
              </w:rPr>
              <w:t xml:space="preserve">and Regional </w:t>
            </w:r>
            <w:r w:rsidRPr="009C252F">
              <w:rPr>
                <w:rFonts w:ascii="Arial" w:hAnsi="Arial" w:cs="Arial"/>
                <w:sz w:val="20"/>
                <w:szCs w:val="20"/>
              </w:rPr>
              <w:t>Estate</w:t>
            </w:r>
            <w:r w:rsidR="006B72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D51D1B" w14:textId="77777777" w:rsidR="00D4646C" w:rsidRPr="009C252F" w:rsidRDefault="00D4646C" w:rsidP="006C6F3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CA6EF2" w14:textId="7934F058" w:rsidR="00D4646C" w:rsidRPr="009C252F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Lead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internal 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delivery of </w:t>
            </w:r>
            <w:r w:rsidR="00A7639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27F41">
              <w:rPr>
                <w:rFonts w:ascii="Arial" w:hAnsi="Arial" w:cs="Arial"/>
                <w:sz w:val="20"/>
                <w:szCs w:val="20"/>
              </w:rPr>
              <w:t xml:space="preserve">sustainability </w:t>
            </w:r>
            <w:r w:rsidR="00A7639D">
              <w:rPr>
                <w:rFonts w:ascii="Arial" w:hAnsi="Arial" w:cs="Arial"/>
                <w:sz w:val="20"/>
                <w:szCs w:val="20"/>
              </w:rPr>
              <w:t>agenda</w:t>
            </w:r>
            <w:r w:rsidR="00D93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252F">
              <w:rPr>
                <w:rFonts w:ascii="Arial" w:hAnsi="Arial" w:cs="Arial"/>
                <w:sz w:val="20"/>
                <w:szCs w:val="20"/>
              </w:rPr>
              <w:t>including reporting and analysing quarterly usage and preparation of annual environmental reporting.</w:t>
            </w:r>
            <w:r w:rsidR="00D931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1C5AFF5" w14:textId="77777777" w:rsidR="0083303B" w:rsidRPr="0083303B" w:rsidRDefault="0083303B" w:rsidP="0083303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ED9F7C" w14:textId="6A04F9E9" w:rsidR="00D4646C" w:rsidRPr="009C252F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Management of Asset Management System, including management of contractual relationship and lead User Group to ensure consistent implementation for whole </w:t>
            </w:r>
            <w:r w:rsidRPr="009C252F">
              <w:rPr>
                <w:rFonts w:ascii="Arial" w:hAnsi="Arial" w:cs="Arial"/>
                <w:b/>
                <w:sz w:val="20"/>
                <w:szCs w:val="20"/>
              </w:rPr>
              <w:t>sport</w:t>
            </w:r>
            <w:r w:rsidRPr="009C252F">
              <w:rPr>
                <w:rFonts w:ascii="Arial" w:hAnsi="Arial" w:cs="Arial"/>
                <w:sz w:val="20"/>
                <w:szCs w:val="20"/>
              </w:rPr>
              <w:t>scotland estate</w:t>
            </w:r>
          </w:p>
          <w:p w14:paraId="080BF8B8" w14:textId="77777777" w:rsidR="00D4646C" w:rsidRPr="009C252F" w:rsidRDefault="00D4646C" w:rsidP="006C6F3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9C981BF" w14:textId="77777777" w:rsidR="00D4646C" w:rsidRDefault="00D4646C" w:rsidP="006C6F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Responsible for developing and implementing efficiency and utilisation performance standards and associated reporting and trend analysis across the corporate </w:t>
            </w:r>
            <w:r w:rsidR="006B722C">
              <w:rPr>
                <w:rFonts w:ascii="Arial" w:hAnsi="Arial" w:cs="Arial"/>
                <w:sz w:val="20"/>
                <w:szCs w:val="20"/>
              </w:rPr>
              <w:t xml:space="preserve">and regional </w:t>
            </w:r>
            <w:r w:rsidRPr="009C252F">
              <w:rPr>
                <w:rFonts w:ascii="Arial" w:hAnsi="Arial" w:cs="Arial"/>
                <w:sz w:val="20"/>
                <w:szCs w:val="20"/>
              </w:rPr>
              <w:t>estate</w:t>
            </w:r>
            <w:r w:rsidR="006B72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165D0" w14:textId="6927472F" w:rsidR="0083303B" w:rsidRPr="0083303B" w:rsidRDefault="0083303B" w:rsidP="0083303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98252" w14:textId="77777777" w:rsidR="00D4646C" w:rsidRPr="009C252F" w:rsidRDefault="00D4646C" w:rsidP="00D4646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646C" w:rsidRPr="009C252F" w14:paraId="07C96E8C" w14:textId="77777777" w:rsidTr="006C6F32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4ED9777A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t>Knowledge &amp; Experience</w:t>
            </w:r>
          </w:p>
        </w:tc>
      </w:tr>
      <w:tr w:rsidR="00D4646C" w:rsidRPr="009C252F" w14:paraId="11164F5D" w14:textId="77777777" w:rsidTr="002C6132">
        <w:trPr>
          <w:trHeight w:val="3278"/>
        </w:trPr>
        <w:tc>
          <w:tcPr>
            <w:tcW w:w="9889" w:type="dxa"/>
          </w:tcPr>
          <w:p w14:paraId="25896124" w14:textId="77777777" w:rsidR="00E60890" w:rsidRDefault="00E60890" w:rsidP="00D4646C">
            <w:pPr>
              <w:spacing w:line="240" w:lineRule="auto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</w:p>
          <w:p w14:paraId="55A2A190" w14:textId="2E0233C9" w:rsidR="00D4646C" w:rsidRPr="009C252F" w:rsidRDefault="00D4646C" w:rsidP="00D4646C">
            <w:pPr>
              <w:spacing w:line="240" w:lineRule="auto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Knowledge (</w:t>
            </w: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>Essential)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</w:p>
          <w:p w14:paraId="5B1CEDB3" w14:textId="4541A276" w:rsidR="00D4646C" w:rsidRDefault="00D4646C" w:rsidP="00D464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nowledge of Health &amp; Safety related to </w:t>
            </w:r>
            <w:r w:rsidR="00421D44">
              <w:rPr>
                <w:rFonts w:ascii="Arial" w:hAnsi="Arial" w:cs="Arial"/>
                <w:sz w:val="20"/>
                <w:szCs w:val="20"/>
              </w:rPr>
              <w:t xml:space="preserve">Estate, </w:t>
            </w:r>
            <w:r w:rsidRPr="009C252F">
              <w:rPr>
                <w:rFonts w:ascii="Arial" w:hAnsi="Arial" w:cs="Arial"/>
                <w:sz w:val="20"/>
                <w:szCs w:val="20"/>
              </w:rPr>
              <w:t>Office</w:t>
            </w:r>
            <w:r w:rsidR="00513ABD">
              <w:rPr>
                <w:rFonts w:ascii="Arial" w:hAnsi="Arial" w:cs="Arial"/>
                <w:sz w:val="20"/>
                <w:szCs w:val="20"/>
              </w:rPr>
              <w:t>,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 and Facilities Management, for example, COSSH and Asbestos</w:t>
            </w:r>
          </w:p>
          <w:p w14:paraId="7FD7C470" w14:textId="05CD39F9" w:rsidR="00D4646C" w:rsidRPr="009C252F" w:rsidRDefault="00D4646C" w:rsidP="00D464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Awareness of </w:t>
            </w:r>
            <w:r w:rsidR="006518E0">
              <w:rPr>
                <w:rFonts w:ascii="Arial" w:hAnsi="Arial" w:cs="Arial"/>
                <w:sz w:val="20"/>
                <w:szCs w:val="20"/>
              </w:rPr>
              <w:t>o</w:t>
            </w:r>
            <w:r w:rsidR="001A19A2">
              <w:rPr>
                <w:rFonts w:ascii="Arial" w:hAnsi="Arial" w:cs="Arial"/>
                <w:sz w:val="20"/>
                <w:szCs w:val="20"/>
              </w:rPr>
              <w:t xml:space="preserve">ffice </w:t>
            </w:r>
            <w:r w:rsidR="00E60890">
              <w:rPr>
                <w:rFonts w:ascii="Arial" w:hAnsi="Arial" w:cs="Arial"/>
                <w:sz w:val="20"/>
                <w:szCs w:val="20"/>
              </w:rPr>
              <w:t>e</w:t>
            </w:r>
            <w:r w:rsidR="00421D44">
              <w:rPr>
                <w:rFonts w:ascii="Arial" w:hAnsi="Arial" w:cs="Arial"/>
                <w:sz w:val="20"/>
                <w:szCs w:val="20"/>
              </w:rPr>
              <w:t>states</w:t>
            </w:r>
            <w:r w:rsidR="000A6B7B">
              <w:rPr>
                <w:rFonts w:ascii="Arial" w:hAnsi="Arial" w:cs="Arial"/>
                <w:sz w:val="20"/>
                <w:szCs w:val="20"/>
              </w:rPr>
              <w:t>, s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ustainability and </w:t>
            </w:r>
            <w:r w:rsidR="00E60890">
              <w:rPr>
                <w:rFonts w:ascii="Arial" w:hAnsi="Arial" w:cs="Arial"/>
                <w:sz w:val="20"/>
                <w:szCs w:val="20"/>
              </w:rPr>
              <w:t>h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ealth &amp; </w:t>
            </w:r>
            <w:r w:rsidR="00E60890">
              <w:rPr>
                <w:rFonts w:ascii="Arial" w:hAnsi="Arial" w:cs="Arial"/>
                <w:sz w:val="20"/>
                <w:szCs w:val="20"/>
              </w:rPr>
              <w:t>s</w:t>
            </w:r>
            <w:r w:rsidRPr="009C252F">
              <w:rPr>
                <w:rFonts w:ascii="Arial" w:hAnsi="Arial" w:cs="Arial"/>
                <w:sz w:val="20"/>
                <w:szCs w:val="20"/>
              </w:rPr>
              <w:t>afety related policies and procedures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809C8" w14:textId="1628B3F6" w:rsidR="00D4646C" w:rsidRPr="009C252F" w:rsidRDefault="00D4646C" w:rsidP="00D464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Working knowledge of </w:t>
            </w:r>
            <w:r w:rsidR="006518E0">
              <w:rPr>
                <w:rFonts w:ascii="Arial" w:hAnsi="Arial" w:cs="Arial"/>
                <w:sz w:val="20"/>
                <w:szCs w:val="20"/>
              </w:rPr>
              <w:t>b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uilding </w:t>
            </w:r>
            <w:r w:rsidR="006518E0">
              <w:rPr>
                <w:rFonts w:ascii="Arial" w:hAnsi="Arial" w:cs="Arial"/>
                <w:sz w:val="20"/>
                <w:szCs w:val="20"/>
              </w:rPr>
              <w:t>r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egulations and asset management systems and software i.e., </w:t>
            </w:r>
            <w:proofErr w:type="spellStart"/>
            <w:r w:rsidRPr="009C252F">
              <w:rPr>
                <w:rFonts w:ascii="Arial" w:hAnsi="Arial" w:cs="Arial"/>
                <w:sz w:val="20"/>
                <w:szCs w:val="20"/>
              </w:rPr>
              <w:t>Techforge</w:t>
            </w:r>
            <w:proofErr w:type="spellEnd"/>
            <w:r w:rsidRPr="009C252F">
              <w:rPr>
                <w:rFonts w:ascii="Arial" w:hAnsi="Arial" w:cs="Arial"/>
                <w:sz w:val="20"/>
                <w:szCs w:val="20"/>
              </w:rPr>
              <w:t xml:space="preserve"> and related maintenance planning and implementation</w:t>
            </w:r>
          </w:p>
          <w:p w14:paraId="4ABBF255" w14:textId="77777777" w:rsidR="00D4646C" w:rsidRPr="009C252F" w:rsidRDefault="00D4646C" w:rsidP="00D464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In depth knowledge of sustainability to support development and implementation of actions plans to reduce emissions in line with government policy</w:t>
            </w:r>
          </w:p>
          <w:p w14:paraId="274C74F5" w14:textId="77777777" w:rsidR="00D4646C" w:rsidRPr="009C252F" w:rsidRDefault="00D4646C" w:rsidP="00D464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Knowledge of risk management, carbon management and environmental management</w:t>
            </w:r>
          </w:p>
          <w:p w14:paraId="3B2F98D2" w14:textId="77777777" w:rsidR="00D4646C" w:rsidRPr="009C252F" w:rsidRDefault="00D4646C" w:rsidP="00D464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 w:rsidRPr="009C252F">
              <w:rPr>
                <w:rFonts w:ascii="Arial" w:hAnsi="Arial" w:cs="Arial"/>
                <w:sz w:val="20"/>
                <w:szCs w:val="20"/>
              </w:rPr>
              <w:t>how to create, analyse and manage a carbon management plan</w:t>
            </w:r>
          </w:p>
          <w:p w14:paraId="2C068483" w14:textId="3C3718D5" w:rsidR="00D4646C" w:rsidRPr="002C6132" w:rsidRDefault="00D4646C" w:rsidP="002C61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Ability to use MS Office suite  </w:t>
            </w:r>
          </w:p>
        </w:tc>
      </w:tr>
      <w:tr w:rsidR="00D4646C" w:rsidRPr="009C252F" w14:paraId="4594D251" w14:textId="77777777" w:rsidTr="006C6F32">
        <w:trPr>
          <w:trHeight w:val="1506"/>
        </w:trPr>
        <w:tc>
          <w:tcPr>
            <w:tcW w:w="9889" w:type="dxa"/>
          </w:tcPr>
          <w:p w14:paraId="571D05F7" w14:textId="77777777" w:rsidR="006518E0" w:rsidRDefault="006518E0" w:rsidP="00D4646C">
            <w:pPr>
              <w:spacing w:line="240" w:lineRule="auto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</w:p>
          <w:p w14:paraId="1FEF57FD" w14:textId="328C9AD7" w:rsidR="00D4646C" w:rsidRPr="009C252F" w:rsidRDefault="00D4646C" w:rsidP="00D4646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Experience (e</w:t>
            </w: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>ssential)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</w:p>
          <w:p w14:paraId="3C0F370A" w14:textId="77777777" w:rsidR="00D4646C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Significant relevant experience in similar role </w:t>
            </w:r>
          </w:p>
          <w:p w14:paraId="2EBF41F7" w14:textId="77777777" w:rsidR="00D4646C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Experience and knowledge of leading and managing teams</w:t>
            </w:r>
          </w:p>
          <w:p w14:paraId="7A527792" w14:textId="77777777" w:rsidR="00D4646C" w:rsidRPr="009C252F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Demonstrable experience of developing and implementing policy and practice</w:t>
            </w:r>
          </w:p>
          <w:p w14:paraId="48C209E2" w14:textId="77777777" w:rsidR="00D4646C" w:rsidRPr="009C252F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Experience of leading working groups</w:t>
            </w:r>
          </w:p>
          <w:p w14:paraId="57020807" w14:textId="2655D4CE" w:rsidR="00D4646C" w:rsidRPr="009C252F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managing c</w:t>
            </w:r>
            <w:r w:rsidRPr="009C252F">
              <w:rPr>
                <w:rFonts w:ascii="Arial" w:hAnsi="Arial" w:cs="Arial"/>
                <w:sz w:val="20"/>
                <w:szCs w:val="20"/>
              </w:rPr>
              <w:t>ont</w:t>
            </w:r>
            <w:r w:rsidR="006518E0">
              <w:rPr>
                <w:rFonts w:ascii="Arial" w:hAnsi="Arial" w:cs="Arial"/>
                <w:sz w:val="20"/>
                <w:szCs w:val="20"/>
              </w:rPr>
              <w:t>r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acts,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C252F">
              <w:rPr>
                <w:rFonts w:ascii="Arial" w:hAnsi="Arial" w:cs="Arial"/>
                <w:sz w:val="20"/>
                <w:szCs w:val="20"/>
              </w:rPr>
              <w:t xml:space="preserve">rojects, and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C252F">
              <w:rPr>
                <w:rFonts w:ascii="Arial" w:hAnsi="Arial" w:cs="Arial"/>
                <w:sz w:val="20"/>
                <w:szCs w:val="20"/>
              </w:rPr>
              <w:t>enant/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C252F">
              <w:rPr>
                <w:rFonts w:ascii="Arial" w:hAnsi="Arial" w:cs="Arial"/>
                <w:sz w:val="20"/>
                <w:szCs w:val="20"/>
              </w:rPr>
              <w:t>elationship</w:t>
            </w:r>
          </w:p>
          <w:p w14:paraId="03FAE816" w14:textId="77777777" w:rsidR="00D4646C" w:rsidRPr="009C252F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 xml:space="preserve">Risk Assessment experience </w:t>
            </w:r>
          </w:p>
          <w:p w14:paraId="4BA64AEA" w14:textId="77777777" w:rsidR="00D4646C" w:rsidRPr="009C252F" w:rsidRDefault="00D4646C" w:rsidP="00D4646C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46C" w:rsidRPr="009C252F" w14:paraId="3F31BDF4" w14:textId="77777777" w:rsidTr="006C6F32">
        <w:trPr>
          <w:trHeight w:val="1369"/>
        </w:trPr>
        <w:tc>
          <w:tcPr>
            <w:tcW w:w="9889" w:type="dxa"/>
          </w:tcPr>
          <w:p w14:paraId="74817AED" w14:textId="77777777" w:rsidR="006518E0" w:rsidRDefault="006518E0" w:rsidP="00D4646C">
            <w:pPr>
              <w:spacing w:line="240" w:lineRule="auto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</w:p>
          <w:p w14:paraId="7955490F" w14:textId="0F7AC919" w:rsidR="00D4646C" w:rsidRPr="009C252F" w:rsidRDefault="00D4646C" w:rsidP="00D4646C">
            <w:pPr>
              <w:spacing w:line="240" w:lineRule="auto"/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 xml:space="preserve">QUALIFICATIONS </w:t>
            </w:r>
            <w:r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br/>
            </w:r>
          </w:p>
          <w:p w14:paraId="033F3D63" w14:textId="77777777" w:rsidR="00F64307" w:rsidRDefault="00F64307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Management </w:t>
            </w:r>
          </w:p>
          <w:p w14:paraId="65BCA2CA" w14:textId="1BED8CCC" w:rsidR="00D4646C" w:rsidRPr="009C252F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First Aid Qualification</w:t>
            </w:r>
          </w:p>
          <w:p w14:paraId="10BE048A" w14:textId="77777777" w:rsidR="00D4646C" w:rsidRPr="009C252F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Fire Warden Qualification</w:t>
            </w:r>
          </w:p>
          <w:p w14:paraId="64C0DDD9" w14:textId="77777777" w:rsidR="00D4646C" w:rsidRPr="009C252F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Fire Safety Qualification</w:t>
            </w:r>
          </w:p>
          <w:p w14:paraId="2A5D5DA6" w14:textId="77777777" w:rsidR="00D4646C" w:rsidRPr="00D4646C" w:rsidRDefault="00D4646C" w:rsidP="00D464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sz w:val="20"/>
                <w:szCs w:val="20"/>
              </w:rPr>
              <w:t>Environmental or Sustainability qualifications would be desirable</w:t>
            </w:r>
          </w:p>
          <w:p w14:paraId="1C95F055" w14:textId="13BD5C80" w:rsidR="00D4646C" w:rsidRPr="009C252F" w:rsidRDefault="00D4646C" w:rsidP="00D4646C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aps/>
                <w:sz w:val="20"/>
                <w:szCs w:val="20"/>
                <w:u w:val="single"/>
              </w:rPr>
            </w:pPr>
          </w:p>
        </w:tc>
      </w:tr>
    </w:tbl>
    <w:p w14:paraId="547F95A1" w14:textId="77777777" w:rsidR="002C6132" w:rsidRDefault="002C6132">
      <w:r>
        <w:br w:type="page"/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646C" w:rsidRPr="009C252F" w14:paraId="2A6924BF" w14:textId="77777777" w:rsidTr="006C6F32">
        <w:tc>
          <w:tcPr>
            <w:tcW w:w="9889" w:type="dxa"/>
            <w:shd w:val="clear" w:color="auto" w:fill="D9D9D9" w:themeFill="background1" w:themeFillShade="D9"/>
          </w:tcPr>
          <w:p w14:paraId="5D2D3578" w14:textId="575434EF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</w:rPr>
              <w:lastRenderedPageBreak/>
              <w:t>Key Competencies</w:t>
            </w:r>
          </w:p>
        </w:tc>
      </w:tr>
      <w:tr w:rsidR="00D4646C" w:rsidRPr="009C252F" w14:paraId="3748B24B" w14:textId="77777777" w:rsidTr="006C6F32">
        <w:trPr>
          <w:trHeight w:val="2433"/>
        </w:trPr>
        <w:tc>
          <w:tcPr>
            <w:tcW w:w="9889" w:type="dxa"/>
          </w:tcPr>
          <w:p w14:paraId="66411E24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Leadership </w:t>
            </w:r>
          </w:p>
          <w:p w14:paraId="6B2E3A7F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6F7CC" w14:textId="77777777" w:rsidR="00D4646C" w:rsidRPr="009C252F" w:rsidRDefault="00D4646C" w:rsidP="006C6F32">
            <w:pPr>
              <w:pStyle w:val="ListParagraph"/>
              <w:numPr>
                <w:ilvl w:val="0"/>
                <w:numId w:val="1"/>
              </w:numPr>
              <w:tabs>
                <w:tab w:val="left" w:pos="199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Accepts responsibility for decisions and actions, including difficult but necessary ones</w:t>
            </w:r>
          </w:p>
          <w:p w14:paraId="3FDD290C" w14:textId="77777777" w:rsidR="00D4646C" w:rsidRPr="009C252F" w:rsidRDefault="00D4646C" w:rsidP="006C6F32">
            <w:pPr>
              <w:pStyle w:val="ListParagraph"/>
              <w:numPr>
                <w:ilvl w:val="0"/>
                <w:numId w:val="1"/>
              </w:numPr>
              <w:tabs>
                <w:tab w:val="left" w:pos="199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Demonstrates enthusiasm and energy for achieving business goals with a ‘can do’, ‘will do’ approach</w:t>
            </w:r>
          </w:p>
          <w:p w14:paraId="227C8655" w14:textId="77777777" w:rsidR="00D4646C" w:rsidRPr="009C252F" w:rsidRDefault="00D4646C" w:rsidP="006C6F32">
            <w:pPr>
              <w:pStyle w:val="ListParagraph"/>
              <w:numPr>
                <w:ilvl w:val="0"/>
                <w:numId w:val="1"/>
              </w:numPr>
              <w:tabs>
                <w:tab w:val="left" w:pos="199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Leads understanding and adherence to the organisation’s processes, values and expected behaviours</w:t>
            </w:r>
          </w:p>
          <w:p w14:paraId="1E3A1D9C" w14:textId="77777777" w:rsidR="00D4646C" w:rsidRPr="009C252F" w:rsidRDefault="00D4646C" w:rsidP="006C6F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Encourages praise and recognition of success</w:t>
            </w:r>
          </w:p>
          <w:p w14:paraId="368E9C06" w14:textId="77777777" w:rsidR="00D4646C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8046E6B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>Judgement &amp; Decisiveness</w:t>
            </w:r>
          </w:p>
          <w:p w14:paraId="7D0CC959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4A4C" w14:textId="77777777" w:rsidR="00D4646C" w:rsidRPr="009C252F" w:rsidRDefault="00D4646C" w:rsidP="006C6F32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Makes complex decisions for which there is no set procedure</w:t>
            </w:r>
          </w:p>
          <w:p w14:paraId="70504642" w14:textId="77777777" w:rsidR="00D4646C" w:rsidRPr="009C252F" w:rsidRDefault="00D4646C" w:rsidP="006C6F32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Balances competing or contradictory factors and information to reach decisions</w:t>
            </w:r>
          </w:p>
          <w:p w14:paraId="52A44D88" w14:textId="77777777" w:rsidR="00D4646C" w:rsidRPr="009C252F" w:rsidRDefault="00D4646C" w:rsidP="006C6F32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Using appropriate criteria and processes, identifies the best people to involve in the </w:t>
            </w:r>
            <w:proofErr w:type="gramStart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decision making</w:t>
            </w:r>
            <w:proofErr w:type="gramEnd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process</w:t>
            </w:r>
          </w:p>
          <w:p w14:paraId="043F487B" w14:textId="77777777" w:rsidR="00D4646C" w:rsidRPr="009C252F" w:rsidRDefault="00D4646C" w:rsidP="006C6F32">
            <w:pPr>
              <w:pStyle w:val="ListParagraph"/>
              <w:numPr>
                <w:ilvl w:val="0"/>
                <w:numId w:val="2"/>
              </w:numPr>
              <w:tabs>
                <w:tab w:val="left" w:pos="19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Makes decisions that will influence policy and practice</w:t>
            </w:r>
          </w:p>
          <w:p w14:paraId="0ACC43A5" w14:textId="77777777" w:rsidR="00D4646C" w:rsidRPr="009C252F" w:rsidRDefault="00D4646C" w:rsidP="006C6F32">
            <w:pPr>
              <w:tabs>
                <w:tab w:val="left" w:pos="1995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94BC3D1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Continuous Improvement </w:t>
            </w:r>
          </w:p>
          <w:p w14:paraId="4AA40F94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674C3" w14:textId="77777777" w:rsidR="00D4646C" w:rsidRPr="009C252F" w:rsidRDefault="00D4646C" w:rsidP="006C6F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Quickly translates ideas with potential business benefits into actions</w:t>
            </w:r>
          </w:p>
          <w:p w14:paraId="13EA2812" w14:textId="77777777" w:rsidR="00D4646C" w:rsidRPr="009C252F" w:rsidRDefault="00D4646C" w:rsidP="006C6F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Champions innovation and the generation of new ideas</w:t>
            </w:r>
          </w:p>
          <w:p w14:paraId="190FFC1B" w14:textId="77777777" w:rsidR="00D4646C" w:rsidRPr="009C252F" w:rsidRDefault="00D4646C" w:rsidP="006C6F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Engages others in idea generation and development </w:t>
            </w:r>
            <w:proofErr w:type="gramStart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in order to</w:t>
            </w:r>
            <w:proofErr w:type="gramEnd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create a commitment to approach</w:t>
            </w:r>
          </w:p>
          <w:p w14:paraId="154748D1" w14:textId="77777777" w:rsidR="00D4646C" w:rsidRPr="009C252F" w:rsidRDefault="00D4646C" w:rsidP="006C6F3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Manages the risk and delivery of any change programmes</w:t>
            </w:r>
          </w:p>
          <w:p w14:paraId="6AC12575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  <w:lang w:eastAsia="en-GB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Planning &amp; Organising </w:t>
            </w:r>
          </w:p>
          <w:p w14:paraId="0EC6E7CD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7FB76555" w14:textId="77777777" w:rsidR="00D4646C" w:rsidRPr="009C252F" w:rsidRDefault="00D4646C" w:rsidP="006C6F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Contributes towards the development of the Corporate /Business Plan</w:t>
            </w:r>
          </w:p>
          <w:p w14:paraId="39B7611F" w14:textId="77777777" w:rsidR="00D4646C" w:rsidRPr="009C252F" w:rsidRDefault="00D4646C" w:rsidP="006C6F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Translates the Corporate plan into strategies and action plans for their department</w:t>
            </w:r>
          </w:p>
          <w:p w14:paraId="4B15A3D3" w14:textId="77777777" w:rsidR="00D4646C" w:rsidRPr="009C252F" w:rsidRDefault="00D4646C" w:rsidP="006C6F3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Ensures that systems are implemented to monitor and evaluate progress and use of resources (e.g. Finance, Workforce Planning etc.)</w:t>
            </w:r>
          </w:p>
          <w:p w14:paraId="183AAD06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>Results Focus</w:t>
            </w:r>
          </w:p>
          <w:p w14:paraId="1E0C6AB7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66B669" w14:textId="77777777" w:rsidR="00D4646C" w:rsidRPr="009C252F" w:rsidRDefault="00D4646C" w:rsidP="006C6F3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Creates and drives delivery of Business wide or complex targets, liaising with key stakeholders where necessary</w:t>
            </w:r>
          </w:p>
          <w:p w14:paraId="4870C25F" w14:textId="77777777" w:rsidR="00D4646C" w:rsidRPr="009C252F" w:rsidRDefault="00D4646C" w:rsidP="006C6F3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Delivers personally and through others ensuring that targets and measures are clear and people are accountable</w:t>
            </w:r>
          </w:p>
          <w:p w14:paraId="28DD8364" w14:textId="77777777" w:rsidR="00D4646C" w:rsidRPr="009C252F" w:rsidRDefault="00D4646C" w:rsidP="006C6F3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Pre-empts setbacks by anticipating and addressing risks</w:t>
            </w:r>
          </w:p>
          <w:p w14:paraId="550654BD" w14:textId="77777777" w:rsidR="00D4646C" w:rsidRPr="009C252F" w:rsidRDefault="00D4646C" w:rsidP="006C6F3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Shows persistence and determination</w:t>
            </w:r>
          </w:p>
          <w:p w14:paraId="6EEDC673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>Problem Solving</w:t>
            </w:r>
          </w:p>
          <w:p w14:paraId="32E32A48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D9D36A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Is guided by organisational values and operating principles to help select possible approaches which may not align with established procedures</w:t>
            </w:r>
          </w:p>
          <w:p w14:paraId="72905961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Uses logic and analysis techniques to solve problems of increasing difficulty that impact across the organisation</w:t>
            </w:r>
          </w:p>
          <w:p w14:paraId="26C1D035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Quickly assimilates and makes sense of complex data, information, ideas and themes</w:t>
            </w:r>
          </w:p>
          <w:p w14:paraId="745D3F5E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Coaches other to solve problems </w:t>
            </w:r>
          </w:p>
          <w:p w14:paraId="3854E93E" w14:textId="77777777" w:rsidR="00D4646C" w:rsidRPr="009C252F" w:rsidRDefault="00D4646C" w:rsidP="006C6F32">
            <w:pPr>
              <w:tabs>
                <w:tab w:val="left" w:pos="1995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C84BF2C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>Working with Others</w:t>
            </w:r>
          </w:p>
          <w:p w14:paraId="7BA6D80B" w14:textId="77777777" w:rsidR="00D4646C" w:rsidRPr="009C252F" w:rsidRDefault="00D4646C" w:rsidP="006C6F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B0EC3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Promotes a team ethos across the organisation and is not limited by team boundaries</w:t>
            </w:r>
          </w:p>
          <w:p w14:paraId="053236EB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Ensures the right people are </w:t>
            </w:r>
            <w:proofErr w:type="gramStart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involved  at</w:t>
            </w:r>
            <w:proofErr w:type="gramEnd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the right time</w:t>
            </w:r>
          </w:p>
          <w:p w14:paraId="7271944F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Creates balanced teams, drawing on people with complementary skills, interests and viewpoints</w:t>
            </w:r>
          </w:p>
          <w:p w14:paraId="0A538AB8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Resolves charged conflicts, bringing all parties together to create a mutually acceptable solution</w:t>
            </w:r>
          </w:p>
          <w:p w14:paraId="41FD7D99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Seeks feedback on self to ensure that they are effective</w:t>
            </w:r>
          </w:p>
          <w:p w14:paraId="34C83EBC" w14:textId="77777777" w:rsidR="00D4646C" w:rsidRPr="009C252F" w:rsidRDefault="00D4646C" w:rsidP="006C6F3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Manages all stakeholders to maintain one agenda</w:t>
            </w:r>
          </w:p>
          <w:p w14:paraId="011B7836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Performance Management</w:t>
            </w:r>
          </w:p>
          <w:p w14:paraId="15DF4ECA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2DE6471" w14:textId="77777777" w:rsidR="00D4646C" w:rsidRPr="009C252F" w:rsidRDefault="00D4646C" w:rsidP="006C6F3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Effectively balances the management of people, tasks and activities</w:t>
            </w:r>
          </w:p>
          <w:p w14:paraId="18C005DA" w14:textId="77777777" w:rsidR="00D4646C" w:rsidRPr="009C252F" w:rsidRDefault="00D4646C" w:rsidP="006C6F3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Encourages others to have a realistic view of their career prospects</w:t>
            </w:r>
          </w:p>
          <w:p w14:paraId="19AD4045" w14:textId="77777777" w:rsidR="00D4646C" w:rsidRPr="009C252F" w:rsidRDefault="00D4646C" w:rsidP="006C6F3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Takes account of the needs of team members when agreeing objectives</w:t>
            </w:r>
          </w:p>
          <w:p w14:paraId="26875E83" w14:textId="77777777" w:rsidR="00D4646C" w:rsidRPr="009C252F" w:rsidRDefault="00D4646C" w:rsidP="006C6F3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Actively eliminates barriers affecting or likely to affect personal, team or organisational performance</w:t>
            </w:r>
          </w:p>
          <w:p w14:paraId="324195B4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u w:val="single"/>
                <w:lang w:eastAsia="en-GB"/>
              </w:rPr>
            </w:pPr>
            <w:r w:rsidRPr="009C252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Developing Self &amp; Others </w:t>
            </w:r>
          </w:p>
          <w:p w14:paraId="1918EEE0" w14:textId="77777777" w:rsidR="00D4646C" w:rsidRPr="009C252F" w:rsidRDefault="00D4646C" w:rsidP="006C6F32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6C90C65A" w14:textId="77777777" w:rsidR="00D4646C" w:rsidRPr="009C252F" w:rsidRDefault="00D4646C" w:rsidP="006C6F3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gramStart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Coaches</w:t>
            </w:r>
            <w:proofErr w:type="gramEnd"/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others to identify for themselves ways and methods to address their learning needs</w:t>
            </w:r>
          </w:p>
          <w:p w14:paraId="09164B05" w14:textId="77777777" w:rsidR="00D4646C" w:rsidRPr="009C252F" w:rsidRDefault="00D4646C" w:rsidP="006C6F32">
            <w:pPr>
              <w:pStyle w:val="ListParagraph"/>
              <w:numPr>
                <w:ilvl w:val="0"/>
                <w:numId w:val="8"/>
              </w:numPr>
              <w:tabs>
                <w:tab w:val="left" w:pos="1995"/>
              </w:tabs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C252F">
              <w:rPr>
                <w:rFonts w:ascii="Arial" w:hAnsi="Arial" w:cs="Arial"/>
                <w:sz w:val="20"/>
                <w:szCs w:val="20"/>
                <w:lang w:eastAsia="en-GB"/>
              </w:rPr>
              <w:t>Supports and promotes a learning culture within their team and across their department</w:t>
            </w:r>
          </w:p>
        </w:tc>
      </w:tr>
    </w:tbl>
    <w:p w14:paraId="7AECB8EA" w14:textId="77777777" w:rsidR="00D4646C" w:rsidRPr="009C252F" w:rsidRDefault="00D4646C" w:rsidP="00D4646C">
      <w:pPr>
        <w:rPr>
          <w:rFonts w:ascii="Arial" w:hAnsi="Arial" w:cs="Arial"/>
          <w:sz w:val="20"/>
          <w:szCs w:val="20"/>
        </w:rPr>
      </w:pPr>
    </w:p>
    <w:p w14:paraId="667EE8C2" w14:textId="77777777" w:rsidR="00D4646C" w:rsidRDefault="00D4646C" w:rsidP="00D4646C"/>
    <w:p w14:paraId="588109C5" w14:textId="77777777" w:rsidR="006F1436" w:rsidRDefault="006F1436"/>
    <w:sectPr w:rsidR="006F1436" w:rsidSect="00A67EE2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7501" w14:textId="77777777" w:rsidR="00F61289" w:rsidRDefault="00F61289">
      <w:pPr>
        <w:spacing w:line="240" w:lineRule="auto"/>
      </w:pPr>
      <w:r>
        <w:separator/>
      </w:r>
    </w:p>
  </w:endnote>
  <w:endnote w:type="continuationSeparator" w:id="0">
    <w:p w14:paraId="2D44B69B" w14:textId="77777777" w:rsidR="00F61289" w:rsidRDefault="00F61289">
      <w:pPr>
        <w:spacing w:line="240" w:lineRule="auto"/>
      </w:pPr>
      <w:r>
        <w:continuationSeparator/>
      </w:r>
    </w:p>
  </w:endnote>
  <w:endnote w:type="continuationNotice" w:id="1">
    <w:p w14:paraId="5FB098E9" w14:textId="77777777" w:rsidR="00F61289" w:rsidRDefault="00F612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B0C7" w14:textId="2205DEEE" w:rsidR="00E1547B" w:rsidRDefault="00E1547B">
    <w:pPr>
      <w:pStyle w:val="Footer"/>
    </w:pPr>
    <w:r>
      <w:t>Last Reviewed &amp; Updated: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434C" w14:textId="77777777" w:rsidR="00F61289" w:rsidRDefault="00F61289">
      <w:pPr>
        <w:spacing w:line="240" w:lineRule="auto"/>
      </w:pPr>
      <w:r>
        <w:separator/>
      </w:r>
    </w:p>
  </w:footnote>
  <w:footnote w:type="continuationSeparator" w:id="0">
    <w:p w14:paraId="0E09A6EC" w14:textId="77777777" w:rsidR="00F61289" w:rsidRDefault="00F61289">
      <w:pPr>
        <w:spacing w:line="240" w:lineRule="auto"/>
      </w:pPr>
      <w:r>
        <w:continuationSeparator/>
      </w:r>
    </w:p>
  </w:footnote>
  <w:footnote w:type="continuationNotice" w:id="1">
    <w:p w14:paraId="1C29F831" w14:textId="77777777" w:rsidR="00F61289" w:rsidRDefault="00F612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4F24" w14:textId="77777777" w:rsidR="00131845" w:rsidRPr="00550885" w:rsidRDefault="002C6132" w:rsidP="00550885">
    <w:pPr>
      <w:spacing w:line="240" w:lineRule="auto"/>
      <w:jc w:val="right"/>
      <w:rPr>
        <w:rFonts w:ascii="Arial" w:hAnsi="Arial" w:cs="Arial"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>sport</w:t>
    </w:r>
    <w:r>
      <w:rPr>
        <w:rFonts w:ascii="Arial" w:hAnsi="Arial" w:cs="Arial"/>
        <w:color w:val="002060"/>
        <w:sz w:val="48"/>
        <w:szCs w:val="48"/>
      </w:rPr>
      <w:t>scotland</w:t>
    </w:r>
  </w:p>
  <w:p w14:paraId="794CEACC" w14:textId="77777777" w:rsidR="00131845" w:rsidRDefault="00131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18C"/>
    <w:multiLevelType w:val="hybridMultilevel"/>
    <w:tmpl w:val="CC684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813A0"/>
    <w:multiLevelType w:val="hybridMultilevel"/>
    <w:tmpl w:val="A3EAB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7020F0"/>
    <w:multiLevelType w:val="hybridMultilevel"/>
    <w:tmpl w:val="A824E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319C0"/>
    <w:multiLevelType w:val="hybridMultilevel"/>
    <w:tmpl w:val="E5D6D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1330A"/>
    <w:multiLevelType w:val="hybridMultilevel"/>
    <w:tmpl w:val="98685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D17DC"/>
    <w:multiLevelType w:val="hybridMultilevel"/>
    <w:tmpl w:val="FB3A7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5F0992"/>
    <w:multiLevelType w:val="hybridMultilevel"/>
    <w:tmpl w:val="C1D6E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080B"/>
    <w:multiLevelType w:val="hybridMultilevel"/>
    <w:tmpl w:val="7A98B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34112"/>
    <w:multiLevelType w:val="hybridMultilevel"/>
    <w:tmpl w:val="2D4C0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477111"/>
    <w:multiLevelType w:val="hybridMultilevel"/>
    <w:tmpl w:val="BD921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B6894"/>
    <w:multiLevelType w:val="hybridMultilevel"/>
    <w:tmpl w:val="71D0C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7854440">
    <w:abstractNumId w:val="5"/>
  </w:num>
  <w:num w:numId="2" w16cid:durableId="1175850988">
    <w:abstractNumId w:val="7"/>
  </w:num>
  <w:num w:numId="3" w16cid:durableId="371266968">
    <w:abstractNumId w:val="3"/>
  </w:num>
  <w:num w:numId="4" w16cid:durableId="1744987568">
    <w:abstractNumId w:val="8"/>
  </w:num>
  <w:num w:numId="5" w16cid:durableId="577982143">
    <w:abstractNumId w:val="10"/>
  </w:num>
  <w:num w:numId="6" w16cid:durableId="846401523">
    <w:abstractNumId w:val="6"/>
  </w:num>
  <w:num w:numId="7" w16cid:durableId="1872188181">
    <w:abstractNumId w:val="4"/>
  </w:num>
  <w:num w:numId="8" w16cid:durableId="835534531">
    <w:abstractNumId w:val="1"/>
  </w:num>
  <w:num w:numId="9" w16cid:durableId="636027513">
    <w:abstractNumId w:val="9"/>
  </w:num>
  <w:num w:numId="10" w16cid:durableId="2118861995">
    <w:abstractNumId w:val="0"/>
  </w:num>
  <w:num w:numId="11" w16cid:durableId="1331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6C"/>
    <w:rsid w:val="00000839"/>
    <w:rsid w:val="00071E1F"/>
    <w:rsid w:val="000A6B7B"/>
    <w:rsid w:val="000E1B00"/>
    <w:rsid w:val="0010426A"/>
    <w:rsid w:val="00131845"/>
    <w:rsid w:val="001775EA"/>
    <w:rsid w:val="001A19A2"/>
    <w:rsid w:val="001A2845"/>
    <w:rsid w:val="00202D14"/>
    <w:rsid w:val="00224C0E"/>
    <w:rsid w:val="002250E1"/>
    <w:rsid w:val="002C6132"/>
    <w:rsid w:val="00324DB1"/>
    <w:rsid w:val="00391F96"/>
    <w:rsid w:val="003D1E15"/>
    <w:rsid w:val="003D3391"/>
    <w:rsid w:val="00406241"/>
    <w:rsid w:val="00421D44"/>
    <w:rsid w:val="004450DB"/>
    <w:rsid w:val="004549FA"/>
    <w:rsid w:val="004667D0"/>
    <w:rsid w:val="004B1B49"/>
    <w:rsid w:val="004F3BC2"/>
    <w:rsid w:val="00513ABD"/>
    <w:rsid w:val="0055293A"/>
    <w:rsid w:val="0059776B"/>
    <w:rsid w:val="005F3531"/>
    <w:rsid w:val="0061140B"/>
    <w:rsid w:val="00636E9F"/>
    <w:rsid w:val="00644378"/>
    <w:rsid w:val="006518E0"/>
    <w:rsid w:val="0067343D"/>
    <w:rsid w:val="00693D93"/>
    <w:rsid w:val="006A6EC9"/>
    <w:rsid w:val="006B722C"/>
    <w:rsid w:val="006F1436"/>
    <w:rsid w:val="0070665C"/>
    <w:rsid w:val="007504DF"/>
    <w:rsid w:val="007649DA"/>
    <w:rsid w:val="00776CEF"/>
    <w:rsid w:val="00783B43"/>
    <w:rsid w:val="007A6DDA"/>
    <w:rsid w:val="007F5E9E"/>
    <w:rsid w:val="0083303B"/>
    <w:rsid w:val="0086029A"/>
    <w:rsid w:val="008765AD"/>
    <w:rsid w:val="00891828"/>
    <w:rsid w:val="008B1A82"/>
    <w:rsid w:val="008C7CCF"/>
    <w:rsid w:val="008F14F2"/>
    <w:rsid w:val="009111A4"/>
    <w:rsid w:val="00937039"/>
    <w:rsid w:val="009538CD"/>
    <w:rsid w:val="00975C0C"/>
    <w:rsid w:val="00A171F2"/>
    <w:rsid w:val="00A47C39"/>
    <w:rsid w:val="00A7639D"/>
    <w:rsid w:val="00A901B8"/>
    <w:rsid w:val="00AA5CF2"/>
    <w:rsid w:val="00AB4089"/>
    <w:rsid w:val="00AE5A89"/>
    <w:rsid w:val="00AF1D88"/>
    <w:rsid w:val="00B056AD"/>
    <w:rsid w:val="00B8519D"/>
    <w:rsid w:val="00B9731F"/>
    <w:rsid w:val="00BA0B4C"/>
    <w:rsid w:val="00BD1C5C"/>
    <w:rsid w:val="00C23BC3"/>
    <w:rsid w:val="00C52626"/>
    <w:rsid w:val="00D10B71"/>
    <w:rsid w:val="00D4646C"/>
    <w:rsid w:val="00D931AD"/>
    <w:rsid w:val="00DA3973"/>
    <w:rsid w:val="00DE273E"/>
    <w:rsid w:val="00DE4E9B"/>
    <w:rsid w:val="00E07335"/>
    <w:rsid w:val="00E1547B"/>
    <w:rsid w:val="00E259F1"/>
    <w:rsid w:val="00E27F41"/>
    <w:rsid w:val="00E57F04"/>
    <w:rsid w:val="00E60890"/>
    <w:rsid w:val="00EB1A78"/>
    <w:rsid w:val="00EE5682"/>
    <w:rsid w:val="00EF6B3C"/>
    <w:rsid w:val="00F61289"/>
    <w:rsid w:val="00F64307"/>
    <w:rsid w:val="00F6602E"/>
    <w:rsid w:val="00F81C79"/>
    <w:rsid w:val="00FC558C"/>
    <w:rsid w:val="03EF148F"/>
    <w:rsid w:val="0DAE379C"/>
    <w:rsid w:val="14453B22"/>
    <w:rsid w:val="1A6563E5"/>
    <w:rsid w:val="1C620A55"/>
    <w:rsid w:val="23B77B23"/>
    <w:rsid w:val="28C14250"/>
    <w:rsid w:val="3CEBF771"/>
    <w:rsid w:val="4518E124"/>
    <w:rsid w:val="4862DBB7"/>
    <w:rsid w:val="49719F59"/>
    <w:rsid w:val="4A384F54"/>
    <w:rsid w:val="5B34E3A7"/>
    <w:rsid w:val="6316625B"/>
    <w:rsid w:val="6EFDFC06"/>
    <w:rsid w:val="782E9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1780"/>
  <w15:chartTrackingRefBased/>
  <w15:docId w15:val="{FABEDD44-F05B-4798-A382-17ECF100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6C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4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6C"/>
  </w:style>
  <w:style w:type="paragraph" w:styleId="ListParagraph">
    <w:name w:val="List Paragraph"/>
    <w:basedOn w:val="Normal"/>
    <w:uiPriority w:val="34"/>
    <w:qFormat/>
    <w:rsid w:val="00D4646C"/>
    <w:pPr>
      <w:spacing w:after="200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71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1F2"/>
  </w:style>
  <w:style w:type="paragraph" w:styleId="Revision">
    <w:name w:val="Revision"/>
    <w:hidden/>
    <w:uiPriority w:val="99"/>
    <w:semiHidden/>
    <w:rsid w:val="004F3B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6e40b-bce1-44c4-ae19-9e38facca66c">
      <Terms xmlns="http://schemas.microsoft.com/office/infopath/2007/PartnerControls"/>
    </lcf76f155ced4ddcb4097134ff3c332f>
    <TaxCatchAll xmlns="959ddb0d-7290-4040-9f43-7c06d90d02be" xsi:nil="true"/>
    <elxu xmlns="45e6e40b-bce1-44c4-ae19-9e38facca66c" xsi:nil="true"/>
    <t7qz xmlns="45e6e40b-bce1-44c4-ae19-9e38facca6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54CCFBCE6EF469C867D8C41AA1FF6" ma:contentTypeVersion="20" ma:contentTypeDescription="Create a new document." ma:contentTypeScope="" ma:versionID="2277da5084396e772ba1cfe927d9cbe4">
  <xsd:schema xmlns:xsd="http://www.w3.org/2001/XMLSchema" xmlns:xs="http://www.w3.org/2001/XMLSchema" xmlns:p="http://schemas.microsoft.com/office/2006/metadata/properties" xmlns:ns2="45e6e40b-bce1-44c4-ae19-9e38facca66c" xmlns:ns3="959ddb0d-7290-4040-9f43-7c06d90d02be" targetNamespace="http://schemas.microsoft.com/office/2006/metadata/properties" ma:root="true" ma:fieldsID="712cdb7b341371cc31bc15db9cbda631" ns2:_="" ns3:_="">
    <xsd:import namespace="45e6e40b-bce1-44c4-ae19-9e38facca66c"/>
    <xsd:import namespace="959ddb0d-7290-4040-9f43-7c06d90d0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7qz" minOccurs="0"/>
                <xsd:element ref="ns2:elxu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e40b-bce1-44c4-ae19-9e38facca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7qz" ma:index="16" nillable="true" ma:displayName="Text" ma:internalName="t7qz">
      <xsd:simpleType>
        <xsd:restriction base="dms:Text"/>
      </xsd:simpleType>
    </xsd:element>
    <xsd:element name="elxu" ma:index="17" nillable="true" ma:displayName="Number" ma:internalName="elxu">
      <xsd:simpleType>
        <xsd:restriction base="dms:Number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3e48ed-9728-4b07-a7f8-5fbb5785e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db0d-7290-4040-9f43-7c06d90d0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effb82-6414-4451-946b-2a6e7ca1ac04}" ma:internalName="TaxCatchAll" ma:showField="CatchAllData" ma:web="959ddb0d-7290-4040-9f43-7c06d90d0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FE97D-7C43-437B-949C-FBBD28423DDD}">
  <ds:schemaRefs>
    <ds:schemaRef ds:uri="http://schemas.microsoft.com/office/2006/metadata/properties"/>
    <ds:schemaRef ds:uri="http://schemas.microsoft.com/office/infopath/2007/PartnerControls"/>
    <ds:schemaRef ds:uri="a0a8a718-347d-445e-b4a1-c43beb2dc4c2"/>
  </ds:schemaRefs>
</ds:datastoreItem>
</file>

<file path=customXml/itemProps2.xml><?xml version="1.0" encoding="utf-8"?>
<ds:datastoreItem xmlns:ds="http://schemas.openxmlformats.org/officeDocument/2006/customXml" ds:itemID="{1263AB64-35E3-4951-88A1-EE1D3B4DF442}"/>
</file>

<file path=customXml/itemProps3.xml><?xml version="1.0" encoding="utf-8"?>
<ds:datastoreItem xmlns:ds="http://schemas.openxmlformats.org/officeDocument/2006/customXml" ds:itemID="{0F0A5956-4D0E-4A59-B75A-4FDF48DE4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7AD10-CB16-4240-A49A-597D68D1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6324</Characters>
  <Application>Microsoft Office Word</Application>
  <DocSecurity>0</DocSecurity>
  <Lines>301</Lines>
  <Paragraphs>87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Dixon</dc:creator>
  <cp:keywords/>
  <dc:description/>
  <cp:lastModifiedBy>Rebecca Vint</cp:lastModifiedBy>
  <cp:revision>2</cp:revision>
  <dcterms:created xsi:type="dcterms:W3CDTF">2026-02-12T11:36:00Z</dcterms:created>
  <dcterms:modified xsi:type="dcterms:W3CDTF">2026-02-12T11:36:00Z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0x01010026754CCFBCE6EF469C867D8C41AA1FF6</vt:lpwstr>
  </property>
  <property fmtid="{D5CDD505-2E9C-101B-9397-08002B2CF9AE}" pid="3" name="_dlc_DocIdItemGuid">
    <vt:lpwstr>e2bb5cd2-c99a-455b-b2b1-0754ec7f1585</vt:lpwstr>
  </property>
</Properties>
</file>