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BAC8" w14:textId="77777777" w:rsidR="005B4C21" w:rsidRDefault="005B4C21" w:rsidP="005B4C21">
      <w:pPr>
        <w:jc w:val="center"/>
        <w:rPr>
          <w:rFonts w:ascii="Arial" w:hAnsi="Arial" w:cs="Arial"/>
          <w:sz w:val="28"/>
          <w:szCs w:val="28"/>
        </w:rPr>
      </w:pPr>
    </w:p>
    <w:p w14:paraId="56834387" w14:textId="77777777" w:rsidR="005B4C21" w:rsidRDefault="005B4C21" w:rsidP="005B4C21">
      <w:pPr>
        <w:jc w:val="center"/>
        <w:rPr>
          <w:rFonts w:ascii="Arial" w:hAnsi="Arial" w:cs="Arial"/>
          <w:sz w:val="28"/>
          <w:szCs w:val="28"/>
        </w:rPr>
      </w:pPr>
    </w:p>
    <w:p w14:paraId="04C266B7" w14:textId="77777777" w:rsidR="005B4C21" w:rsidRDefault="005B4C21" w:rsidP="005B4C21">
      <w:pPr>
        <w:jc w:val="center"/>
        <w:rPr>
          <w:rFonts w:ascii="Arial" w:hAnsi="Arial" w:cs="Arial"/>
          <w:sz w:val="28"/>
          <w:szCs w:val="28"/>
        </w:rPr>
      </w:pPr>
    </w:p>
    <w:p w14:paraId="30EB37B3" w14:textId="77777777" w:rsidR="005B4C21" w:rsidRDefault="005B4C21" w:rsidP="005B4C21">
      <w:pPr>
        <w:jc w:val="center"/>
        <w:rPr>
          <w:rFonts w:ascii="Arial" w:hAnsi="Arial" w:cs="Arial"/>
          <w:sz w:val="28"/>
          <w:szCs w:val="28"/>
        </w:rPr>
      </w:pPr>
    </w:p>
    <w:p w14:paraId="4AC490DD" w14:textId="77777777" w:rsidR="005B4C21" w:rsidRDefault="005B4C21" w:rsidP="005B4C21">
      <w:pPr>
        <w:jc w:val="center"/>
        <w:rPr>
          <w:rFonts w:ascii="Arial" w:hAnsi="Arial" w:cs="Arial"/>
          <w:sz w:val="28"/>
          <w:szCs w:val="28"/>
        </w:rPr>
      </w:pPr>
    </w:p>
    <w:p w14:paraId="71F64905" w14:textId="77777777" w:rsidR="005B4C21" w:rsidRDefault="005B4C21" w:rsidP="005B4C21">
      <w:pPr>
        <w:jc w:val="center"/>
        <w:rPr>
          <w:rFonts w:ascii="Arial" w:hAnsi="Arial" w:cs="Arial"/>
          <w:sz w:val="28"/>
          <w:szCs w:val="28"/>
        </w:rPr>
      </w:pPr>
    </w:p>
    <w:p w14:paraId="105C43C0" w14:textId="77777777" w:rsidR="005B4C21" w:rsidRDefault="005B4C21" w:rsidP="005B4C21">
      <w:pPr>
        <w:jc w:val="center"/>
        <w:rPr>
          <w:rFonts w:ascii="Arial" w:hAnsi="Arial" w:cs="Arial"/>
          <w:sz w:val="28"/>
          <w:szCs w:val="28"/>
        </w:rPr>
      </w:pPr>
    </w:p>
    <w:p w14:paraId="3E9FC4D6" w14:textId="77777777" w:rsidR="005B4C21" w:rsidRDefault="005B4C21" w:rsidP="005B4C21">
      <w:pPr>
        <w:pStyle w:val="Onlyuseindocheader-categorystyle"/>
        <w:rPr>
          <w:b w:val="0"/>
        </w:rPr>
      </w:pPr>
    </w:p>
    <w:p w14:paraId="124F2667" w14:textId="77777777" w:rsidR="005B4C21" w:rsidRPr="00F4199D" w:rsidRDefault="005B4C21" w:rsidP="005B4C21">
      <w:pPr>
        <w:pStyle w:val="Onlyuseindocheader-categorystyle"/>
        <w:rPr>
          <w:b w:val="0"/>
        </w:rPr>
      </w:pPr>
      <w:r w:rsidRPr="00F4199D">
        <w:rPr>
          <w:b w:val="0"/>
        </w:rPr>
        <mc:AlternateContent>
          <mc:Choice Requires="wps">
            <w:drawing>
              <wp:anchor distT="0" distB="0" distL="114300" distR="114300" simplePos="0" relativeHeight="251658244" behindDoc="0" locked="0" layoutInCell="1" allowOverlap="1" wp14:anchorId="649C316D" wp14:editId="572105BA">
                <wp:simplePos x="0" y="0"/>
                <wp:positionH relativeFrom="column">
                  <wp:posOffset>10160</wp:posOffset>
                </wp:positionH>
                <wp:positionV relativeFrom="paragraph">
                  <wp:posOffset>-122184</wp:posOffset>
                </wp:positionV>
                <wp:extent cx="571754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8FC12AD" id="Line 39"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6pt" to="45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" strokecolor="#d8d8d8 [2732]" strokeweight="1pt"/>
            </w:pict>
          </mc:Fallback>
        </mc:AlternateContent>
      </w:r>
    </w:p>
    <w:p w14:paraId="09184413" w14:textId="785CD2C9" w:rsidR="005B4C21" w:rsidRPr="005B4C21" w:rsidRDefault="005B4C21" w:rsidP="005B4C21">
      <w:pPr>
        <w:rPr>
          <w:rFonts w:ascii="Arial" w:hAnsi="Arial" w:cs="Arial"/>
          <w:b/>
          <w:sz w:val="56"/>
          <w:szCs w:val="56"/>
        </w:rPr>
      </w:pPr>
      <w:r w:rsidRPr="005B4C21">
        <w:rPr>
          <w:rFonts w:ascii="Arial" w:hAnsi="Arial" w:cs="Arial"/>
          <w:b/>
          <w:sz w:val="56"/>
          <w:szCs w:val="56"/>
        </w:rPr>
        <w:t>Public Service Reform (Scotland) Act 2010 Disclosures 20</w:t>
      </w:r>
      <w:r w:rsidR="00CB3177">
        <w:rPr>
          <w:rFonts w:ascii="Arial" w:hAnsi="Arial" w:cs="Arial"/>
          <w:b/>
          <w:sz w:val="56"/>
          <w:szCs w:val="56"/>
        </w:rPr>
        <w:t>2</w:t>
      </w:r>
      <w:r w:rsidR="0029532D">
        <w:rPr>
          <w:rFonts w:ascii="Arial" w:hAnsi="Arial" w:cs="Arial"/>
          <w:b/>
          <w:sz w:val="56"/>
          <w:szCs w:val="56"/>
        </w:rPr>
        <w:t>1</w:t>
      </w:r>
      <w:r w:rsidRPr="005B4C21">
        <w:rPr>
          <w:rFonts w:ascii="Arial" w:hAnsi="Arial" w:cs="Arial"/>
          <w:b/>
          <w:sz w:val="56"/>
          <w:szCs w:val="56"/>
        </w:rPr>
        <w:t>-</w:t>
      </w:r>
      <w:r w:rsidR="00BF4BFD">
        <w:rPr>
          <w:rFonts w:ascii="Arial" w:hAnsi="Arial" w:cs="Arial"/>
          <w:b/>
          <w:sz w:val="56"/>
          <w:szCs w:val="56"/>
        </w:rPr>
        <w:t>2</w:t>
      </w:r>
      <w:r w:rsidR="0029532D">
        <w:rPr>
          <w:rFonts w:ascii="Arial" w:hAnsi="Arial" w:cs="Arial"/>
          <w:b/>
          <w:sz w:val="56"/>
          <w:szCs w:val="56"/>
        </w:rPr>
        <w:t>2</w:t>
      </w:r>
    </w:p>
    <w:p w14:paraId="3254C3F7" w14:textId="77777777" w:rsidR="005B4C21" w:rsidRPr="00F4199D" w:rsidRDefault="005B4C21" w:rsidP="005B4C21">
      <w:pPr>
        <w:pStyle w:val="Onlyuseindocheader-subtitleifneeded"/>
        <w:rPr>
          <w:b w:val="0"/>
        </w:rPr>
      </w:pPr>
    </w:p>
    <w:p w14:paraId="78EEA462" w14:textId="77777777" w:rsidR="005B4C21" w:rsidRDefault="005B4C21" w:rsidP="005B4C21">
      <w:r>
        <w:rPr>
          <w:noProof/>
          <w:sz w:val="52"/>
          <w:szCs w:val="52"/>
          <w:lang w:eastAsia="en-GB"/>
        </w:rPr>
        <w:drawing>
          <wp:anchor distT="0" distB="0" distL="114300" distR="114300" simplePos="0" relativeHeight="251658241" behindDoc="1" locked="0" layoutInCell="1" allowOverlap="1" wp14:anchorId="28E59653" wp14:editId="0AC4BB42">
            <wp:simplePos x="0" y="0"/>
            <wp:positionH relativeFrom="column">
              <wp:posOffset>0</wp:posOffset>
            </wp:positionH>
            <wp:positionV relativeFrom="paragraph">
              <wp:posOffset>223358</wp:posOffset>
            </wp:positionV>
            <wp:extent cx="2654300" cy="516255"/>
            <wp:effectExtent l="0" t="0" r="0" b="0"/>
            <wp:wrapNone/>
            <wp:docPr id="13" name="Picture 13"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2"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8242" behindDoc="0" locked="0" layoutInCell="1" allowOverlap="1" wp14:anchorId="385082EE" wp14:editId="03BBC7E5">
                <wp:simplePos x="0" y="0"/>
                <wp:positionH relativeFrom="column">
                  <wp:posOffset>0</wp:posOffset>
                </wp:positionH>
                <wp:positionV relativeFrom="paragraph">
                  <wp:posOffset>165100</wp:posOffset>
                </wp:positionV>
                <wp:extent cx="57175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A0AFB8D" id="Line 1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" strokecolor="#d8d8d8 [2732]" strokeweight="1pt"/>
            </w:pict>
          </mc:Fallback>
        </mc:AlternateContent>
      </w:r>
    </w:p>
    <w:p w14:paraId="762532A4" w14:textId="77777777" w:rsidR="005B4C21" w:rsidRPr="00DD120E" w:rsidRDefault="005B4C21" w:rsidP="005B4C21">
      <w:pPr>
        <w:spacing w:after="480"/>
        <w:jc w:val="both"/>
        <w:rPr>
          <w:sz w:val="52"/>
          <w:szCs w:val="52"/>
        </w:rPr>
      </w:pPr>
      <w:r>
        <w:rPr>
          <w:noProof/>
          <w:sz w:val="52"/>
          <w:szCs w:val="52"/>
          <w:lang w:eastAsia="en-GB"/>
        </w:rPr>
        <w:drawing>
          <wp:anchor distT="0" distB="0" distL="114300" distR="114300" simplePos="0" relativeHeight="251658240" behindDoc="1" locked="0" layoutInCell="1" allowOverlap="1" wp14:anchorId="55F05117" wp14:editId="7F63C255">
            <wp:simplePos x="0" y="0"/>
            <wp:positionH relativeFrom="column">
              <wp:posOffset>3421380</wp:posOffset>
            </wp:positionH>
            <wp:positionV relativeFrom="paragraph">
              <wp:posOffset>-6985</wp:posOffset>
            </wp:positionV>
            <wp:extent cx="2305050" cy="460375"/>
            <wp:effectExtent l="0" t="0" r="0" b="0"/>
            <wp:wrapNone/>
            <wp:docPr id="12" name="Picture 12"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3" cstate="print"/>
                    <a:srcRect l="50197" t="13992" r="5286" b="9053"/>
                    <a:stretch>
                      <a:fillRect/>
                    </a:stretch>
                  </pic:blipFill>
                  <pic:spPr bwMode="auto">
                    <a:xfrm>
                      <a:off x="0" y="0"/>
                      <a:ext cx="2305050" cy="46037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8243" behindDoc="0" locked="0" layoutInCell="1" allowOverlap="1" wp14:anchorId="3123350F" wp14:editId="2EB755CB">
                <wp:simplePos x="0" y="0"/>
                <wp:positionH relativeFrom="column">
                  <wp:posOffset>0</wp:posOffset>
                </wp:positionH>
                <wp:positionV relativeFrom="paragraph">
                  <wp:posOffset>472913</wp:posOffset>
                </wp:positionV>
                <wp:extent cx="571754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127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A8E3AE1" id="Line 1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25pt" to="450.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" strokecolor="#d8d8d8 [2732]" strokeweight="1pt"/>
            </w:pict>
          </mc:Fallback>
        </mc:AlternateContent>
      </w:r>
    </w:p>
    <w:p w14:paraId="0C14C547" w14:textId="77777777" w:rsidR="005B4C21" w:rsidRDefault="005B4C21" w:rsidP="005B4C21">
      <w:pPr>
        <w:jc w:val="center"/>
        <w:rPr>
          <w:rFonts w:ascii="Arial" w:hAnsi="Arial" w:cs="Arial"/>
          <w:sz w:val="28"/>
          <w:szCs w:val="28"/>
        </w:rPr>
      </w:pPr>
    </w:p>
    <w:p w14:paraId="13E0E679" w14:textId="77777777" w:rsidR="005B4C21" w:rsidRPr="00575DC3" w:rsidRDefault="005B4C21" w:rsidP="005B4C21">
      <w:pPr>
        <w:jc w:val="center"/>
        <w:rPr>
          <w:rFonts w:ascii="Arial" w:hAnsi="Arial" w:cs="Arial"/>
          <w:sz w:val="28"/>
          <w:szCs w:val="28"/>
        </w:rPr>
      </w:pPr>
    </w:p>
    <w:p w14:paraId="35F673D8" w14:textId="77777777" w:rsidR="005B4C21" w:rsidRDefault="005B4C21" w:rsidP="005B4C21">
      <w:pPr>
        <w:jc w:val="center"/>
        <w:rPr>
          <w:rFonts w:ascii="Arial" w:hAnsi="Arial" w:cs="Arial"/>
          <w:b/>
          <w:color w:val="17365D"/>
          <w:sz w:val="40"/>
          <w:szCs w:val="32"/>
        </w:rPr>
      </w:pPr>
    </w:p>
    <w:p w14:paraId="4AE994B5" w14:textId="35550437" w:rsidR="005B4C21" w:rsidRPr="00575DC3" w:rsidRDefault="005B4C21" w:rsidP="009D7CD8">
      <w:pPr>
        <w:tabs>
          <w:tab w:val="left" w:pos="5385"/>
        </w:tabs>
        <w:rPr>
          <w:rFonts w:ascii="Arial" w:hAnsi="Arial" w:cs="Arial"/>
          <w:sz w:val="28"/>
          <w:szCs w:val="28"/>
        </w:rPr>
      </w:pPr>
    </w:p>
    <w:p w14:paraId="7DFACFDF" w14:textId="77777777" w:rsidR="005B4C21" w:rsidRDefault="005B4C21" w:rsidP="005B4C21">
      <w:pPr>
        <w:rPr>
          <w:rFonts w:ascii="Arial" w:hAnsi="Arial" w:cs="Arial"/>
          <w:sz w:val="28"/>
          <w:szCs w:val="28"/>
        </w:rPr>
      </w:pPr>
      <w:r>
        <w:rPr>
          <w:rFonts w:ascii="Arial" w:hAnsi="Arial" w:cs="Arial"/>
          <w:sz w:val="28"/>
          <w:szCs w:val="28"/>
        </w:rPr>
        <w:br w:type="page"/>
      </w:r>
    </w:p>
    <w:p w14:paraId="1A05A256" w14:textId="77777777" w:rsidR="005B4C21" w:rsidRPr="0026551E" w:rsidRDefault="005B4C21" w:rsidP="005B4C21">
      <w:pPr>
        <w:rPr>
          <w:rFonts w:ascii="Arial" w:hAnsi="Arial" w:cs="Arial"/>
          <w:b/>
          <w:color w:val="17365D"/>
          <w:sz w:val="36"/>
          <w:szCs w:val="36"/>
        </w:rPr>
      </w:pPr>
      <w:r w:rsidRPr="0026551E">
        <w:rPr>
          <w:rFonts w:ascii="Arial" w:hAnsi="Arial" w:cs="Arial"/>
          <w:b/>
          <w:color w:val="17365D"/>
          <w:sz w:val="36"/>
          <w:szCs w:val="36"/>
        </w:rPr>
        <w:lastRenderedPageBreak/>
        <w:t>Document Control</w:t>
      </w:r>
    </w:p>
    <w:p w14:paraId="65318EB0" w14:textId="77777777" w:rsidR="005B4C21" w:rsidRPr="0026551E" w:rsidRDefault="005B4C21" w:rsidP="005B4C21">
      <w:pPr>
        <w:rPr>
          <w:rFonts w:ascii="Arial" w:hAnsi="Arial" w:cs="Arial"/>
          <w:b/>
          <w:color w:val="17365D"/>
          <w:sz w:val="36"/>
          <w:szCs w:val="36"/>
        </w:rPr>
      </w:pPr>
    </w:p>
    <w:p w14:paraId="393BE0C9" w14:textId="77777777" w:rsidR="005B4C21" w:rsidRPr="0026551E" w:rsidRDefault="005B4C21" w:rsidP="005B4C21">
      <w:pPr>
        <w:rPr>
          <w:rFonts w:ascii="Arial" w:hAnsi="Arial" w:cs="Arial"/>
          <w:b/>
          <w:color w:val="17365D"/>
          <w:sz w:val="36"/>
          <w:szCs w:val="36"/>
        </w:rPr>
      </w:pPr>
      <w:r w:rsidRPr="0026551E">
        <w:rPr>
          <w:rFonts w:ascii="Arial" w:hAnsi="Arial" w:cs="Arial"/>
          <w:b/>
          <w:color w:val="17365D"/>
          <w:sz w:val="36"/>
          <w:szCs w:val="36"/>
        </w:rPr>
        <w:t>Change Record</w:t>
      </w:r>
    </w:p>
    <w:p w14:paraId="492B599C" w14:textId="77777777" w:rsidR="005B4C21" w:rsidRDefault="005B4C21" w:rsidP="005B4C21">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59"/>
        <w:gridCol w:w="1239"/>
        <w:gridCol w:w="3251"/>
      </w:tblGrid>
      <w:tr w:rsidR="005B4C21" w:rsidRPr="0026551E" w14:paraId="054565BF" w14:textId="77777777" w:rsidTr="7CEFE329">
        <w:tc>
          <w:tcPr>
            <w:tcW w:w="2267" w:type="dxa"/>
          </w:tcPr>
          <w:p w14:paraId="1F19804E" w14:textId="77777777" w:rsidR="005B4C21" w:rsidRPr="0026551E" w:rsidRDefault="005B4C21" w:rsidP="003B0B53">
            <w:pPr>
              <w:rPr>
                <w:rFonts w:ascii="Arial" w:hAnsi="Arial" w:cs="Arial"/>
              </w:rPr>
            </w:pPr>
            <w:r w:rsidRPr="0026551E">
              <w:rPr>
                <w:rFonts w:ascii="Arial" w:hAnsi="Arial" w:cs="Arial"/>
              </w:rPr>
              <w:t>Date</w:t>
            </w:r>
          </w:p>
        </w:tc>
        <w:tc>
          <w:tcPr>
            <w:tcW w:w="2259" w:type="dxa"/>
          </w:tcPr>
          <w:p w14:paraId="305BE084" w14:textId="77777777" w:rsidR="005B4C21" w:rsidRPr="0026551E" w:rsidRDefault="005B4C21" w:rsidP="003B0B53">
            <w:pPr>
              <w:rPr>
                <w:rFonts w:ascii="Arial" w:hAnsi="Arial" w:cs="Arial"/>
              </w:rPr>
            </w:pPr>
            <w:r w:rsidRPr="0026551E">
              <w:rPr>
                <w:rFonts w:ascii="Arial" w:hAnsi="Arial" w:cs="Arial"/>
              </w:rPr>
              <w:t>Author</w:t>
            </w:r>
          </w:p>
        </w:tc>
        <w:tc>
          <w:tcPr>
            <w:tcW w:w="1239" w:type="dxa"/>
          </w:tcPr>
          <w:p w14:paraId="4FC0F9ED" w14:textId="77777777" w:rsidR="005B4C21" w:rsidRPr="0026551E" w:rsidRDefault="005B4C21" w:rsidP="003B0B53">
            <w:pPr>
              <w:rPr>
                <w:rFonts w:ascii="Arial" w:hAnsi="Arial" w:cs="Arial"/>
              </w:rPr>
            </w:pPr>
            <w:r w:rsidRPr="0026551E">
              <w:rPr>
                <w:rFonts w:ascii="Arial" w:hAnsi="Arial" w:cs="Arial"/>
              </w:rPr>
              <w:t>Version</w:t>
            </w:r>
          </w:p>
        </w:tc>
        <w:tc>
          <w:tcPr>
            <w:tcW w:w="3251" w:type="dxa"/>
          </w:tcPr>
          <w:p w14:paraId="3940C7FF" w14:textId="77777777" w:rsidR="005B4C21" w:rsidRPr="0026551E" w:rsidRDefault="005B4C21" w:rsidP="003B0B53">
            <w:pPr>
              <w:rPr>
                <w:rFonts w:ascii="Arial" w:hAnsi="Arial" w:cs="Arial"/>
              </w:rPr>
            </w:pPr>
            <w:r w:rsidRPr="0026551E">
              <w:rPr>
                <w:rFonts w:ascii="Arial" w:hAnsi="Arial" w:cs="Arial"/>
              </w:rPr>
              <w:t>Change Reference</w:t>
            </w:r>
          </w:p>
        </w:tc>
      </w:tr>
      <w:tr w:rsidR="005B4C21" w:rsidRPr="0026551E" w14:paraId="13650B23" w14:textId="77777777" w:rsidTr="7CEFE329">
        <w:tc>
          <w:tcPr>
            <w:tcW w:w="2267" w:type="dxa"/>
          </w:tcPr>
          <w:p w14:paraId="525CF746" w14:textId="503C55DA" w:rsidR="005B4C21" w:rsidRPr="0026551E" w:rsidRDefault="0029532D" w:rsidP="003B0B53">
            <w:pPr>
              <w:rPr>
                <w:rFonts w:ascii="Arial" w:hAnsi="Arial" w:cs="Arial"/>
              </w:rPr>
            </w:pPr>
            <w:r>
              <w:rPr>
                <w:rFonts w:ascii="Arial" w:hAnsi="Arial" w:cs="Arial"/>
              </w:rPr>
              <w:t>20</w:t>
            </w:r>
            <w:r w:rsidR="005B4C21">
              <w:rPr>
                <w:rFonts w:ascii="Arial" w:hAnsi="Arial" w:cs="Arial"/>
              </w:rPr>
              <w:t>/</w:t>
            </w:r>
            <w:r>
              <w:rPr>
                <w:rFonts w:ascii="Arial" w:hAnsi="Arial" w:cs="Arial"/>
              </w:rPr>
              <w:t>3</w:t>
            </w:r>
            <w:r w:rsidR="005B4C21">
              <w:rPr>
                <w:rFonts w:ascii="Arial" w:hAnsi="Arial" w:cs="Arial"/>
              </w:rPr>
              <w:t>/</w:t>
            </w:r>
            <w:r w:rsidR="00C36018">
              <w:rPr>
                <w:rFonts w:ascii="Arial" w:hAnsi="Arial" w:cs="Arial"/>
              </w:rPr>
              <w:t>2</w:t>
            </w:r>
            <w:r>
              <w:rPr>
                <w:rFonts w:ascii="Arial" w:hAnsi="Arial" w:cs="Arial"/>
              </w:rPr>
              <w:t>3</w:t>
            </w:r>
          </w:p>
        </w:tc>
        <w:tc>
          <w:tcPr>
            <w:tcW w:w="2259" w:type="dxa"/>
          </w:tcPr>
          <w:p w14:paraId="53871CAF" w14:textId="77777777" w:rsidR="005B4C21" w:rsidRPr="0026551E" w:rsidRDefault="005B4C21" w:rsidP="003B0B53">
            <w:pPr>
              <w:rPr>
                <w:rFonts w:ascii="Arial" w:hAnsi="Arial" w:cs="Arial"/>
              </w:rPr>
            </w:pPr>
            <w:r>
              <w:rPr>
                <w:rFonts w:ascii="Arial" w:hAnsi="Arial" w:cs="Arial"/>
              </w:rPr>
              <w:t>Neville Cobb</w:t>
            </w:r>
          </w:p>
        </w:tc>
        <w:tc>
          <w:tcPr>
            <w:tcW w:w="1239" w:type="dxa"/>
          </w:tcPr>
          <w:p w14:paraId="016440C4" w14:textId="77777777" w:rsidR="005B4C21" w:rsidRPr="0026551E" w:rsidRDefault="005B4C21" w:rsidP="003B0B53">
            <w:pPr>
              <w:rPr>
                <w:rFonts w:ascii="Arial" w:hAnsi="Arial" w:cs="Arial"/>
              </w:rPr>
            </w:pPr>
            <w:r>
              <w:rPr>
                <w:rFonts w:ascii="Arial" w:hAnsi="Arial" w:cs="Arial"/>
              </w:rPr>
              <w:t>0.1 draft</w:t>
            </w:r>
          </w:p>
        </w:tc>
        <w:tc>
          <w:tcPr>
            <w:tcW w:w="3251" w:type="dxa"/>
          </w:tcPr>
          <w:p w14:paraId="7E1554D9" w14:textId="77777777" w:rsidR="005B4C21" w:rsidRPr="0026551E" w:rsidRDefault="005B4C21" w:rsidP="003B0B53">
            <w:pPr>
              <w:rPr>
                <w:rFonts w:ascii="Arial" w:hAnsi="Arial" w:cs="Arial"/>
              </w:rPr>
            </w:pPr>
          </w:p>
        </w:tc>
      </w:tr>
      <w:tr w:rsidR="005B4C21" w:rsidRPr="0026551E" w14:paraId="6037A5E9" w14:textId="77777777" w:rsidTr="7CEFE329">
        <w:tc>
          <w:tcPr>
            <w:tcW w:w="2267" w:type="dxa"/>
          </w:tcPr>
          <w:p w14:paraId="2668F7F0" w14:textId="2DD22B92" w:rsidR="005B4C21" w:rsidRDefault="5FFA3072" w:rsidP="003B0B53">
            <w:pPr>
              <w:rPr>
                <w:rFonts w:ascii="Arial" w:hAnsi="Arial" w:cs="Arial"/>
              </w:rPr>
            </w:pPr>
            <w:r w:rsidRPr="29F163B0">
              <w:rPr>
                <w:rFonts w:ascii="Arial" w:hAnsi="Arial" w:cs="Arial"/>
              </w:rPr>
              <w:t>24/3/23</w:t>
            </w:r>
          </w:p>
        </w:tc>
        <w:tc>
          <w:tcPr>
            <w:tcW w:w="2259" w:type="dxa"/>
          </w:tcPr>
          <w:p w14:paraId="23FC6AD6" w14:textId="04D1F6A9" w:rsidR="005B4C21" w:rsidRDefault="00AB77BF" w:rsidP="003B0B53">
            <w:pPr>
              <w:rPr>
                <w:rFonts w:ascii="Arial" w:hAnsi="Arial" w:cs="Arial"/>
              </w:rPr>
            </w:pPr>
            <w:r>
              <w:rPr>
                <w:rFonts w:ascii="Arial" w:hAnsi="Arial" w:cs="Arial"/>
              </w:rPr>
              <w:t>Neville Cobb</w:t>
            </w:r>
          </w:p>
        </w:tc>
        <w:tc>
          <w:tcPr>
            <w:tcW w:w="1239" w:type="dxa"/>
          </w:tcPr>
          <w:p w14:paraId="259B5382" w14:textId="125B7EEB" w:rsidR="005B4C21" w:rsidRDefault="00AB77BF" w:rsidP="003B0B53">
            <w:pPr>
              <w:rPr>
                <w:rFonts w:ascii="Arial" w:hAnsi="Arial" w:cs="Arial"/>
              </w:rPr>
            </w:pPr>
            <w:r>
              <w:rPr>
                <w:rFonts w:ascii="Arial" w:hAnsi="Arial" w:cs="Arial"/>
              </w:rPr>
              <w:t>1.0</w:t>
            </w:r>
          </w:p>
        </w:tc>
        <w:tc>
          <w:tcPr>
            <w:tcW w:w="3251" w:type="dxa"/>
          </w:tcPr>
          <w:p w14:paraId="52DF6BCE" w14:textId="59887FC3" w:rsidR="005B4C21" w:rsidRDefault="00AB77BF" w:rsidP="003B0B53">
            <w:pPr>
              <w:rPr>
                <w:rFonts w:ascii="Arial" w:hAnsi="Arial" w:cs="Arial"/>
              </w:rPr>
            </w:pPr>
            <w:r w:rsidRPr="7CEFE329">
              <w:rPr>
                <w:rFonts w:ascii="Arial" w:hAnsi="Arial" w:cs="Arial"/>
              </w:rPr>
              <w:t xml:space="preserve">Updated following review by </w:t>
            </w:r>
            <w:r w:rsidR="00C36018" w:rsidRPr="7CEFE329">
              <w:rPr>
                <w:rFonts w:ascii="Arial" w:hAnsi="Arial" w:cs="Arial"/>
              </w:rPr>
              <w:t>Forbes Dunlop</w:t>
            </w:r>
            <w:r w:rsidRPr="7CEFE329">
              <w:rPr>
                <w:rFonts w:ascii="Arial" w:hAnsi="Arial" w:cs="Arial"/>
              </w:rPr>
              <w:t xml:space="preserve">, </w:t>
            </w:r>
            <w:r w:rsidR="00C36018" w:rsidRPr="7CEFE329">
              <w:rPr>
                <w:rFonts w:ascii="Arial" w:hAnsi="Arial" w:cs="Arial"/>
              </w:rPr>
              <w:t xml:space="preserve">Chief </w:t>
            </w:r>
            <w:r w:rsidR="0029532D">
              <w:rPr>
                <w:rFonts w:ascii="Arial" w:hAnsi="Arial" w:cs="Arial"/>
              </w:rPr>
              <w:t xml:space="preserve">Executive </w:t>
            </w:r>
            <w:r w:rsidR="00C36018" w:rsidRPr="7CEFE329">
              <w:rPr>
                <w:rFonts w:ascii="Arial" w:hAnsi="Arial" w:cs="Arial"/>
              </w:rPr>
              <w:t>Officer</w:t>
            </w:r>
          </w:p>
        </w:tc>
      </w:tr>
    </w:tbl>
    <w:p w14:paraId="51E4C0F2" w14:textId="77777777" w:rsidR="005B4C21" w:rsidRDefault="005B4C21" w:rsidP="005B4C21">
      <w:pPr>
        <w:rPr>
          <w:rFonts w:ascii="Arial" w:hAnsi="Arial"/>
          <w:b/>
          <w:sz w:val="32"/>
          <w:szCs w:val="20"/>
        </w:rPr>
      </w:pPr>
      <w:r>
        <w:br w:type="page"/>
      </w:r>
    </w:p>
    <w:p w14:paraId="4FCAF3EE" w14:textId="77777777" w:rsidR="005B4C21" w:rsidRPr="00420175" w:rsidRDefault="005B4C21" w:rsidP="005B4C21">
      <w:pPr>
        <w:pStyle w:val="Intro"/>
        <w:spacing w:before="400"/>
        <w:rPr>
          <w:sz w:val="36"/>
          <w:szCs w:val="36"/>
        </w:rPr>
      </w:pPr>
      <w:r w:rsidRPr="00420175">
        <w:rPr>
          <w:sz w:val="36"/>
          <w:szCs w:val="36"/>
        </w:rPr>
        <w:lastRenderedPageBreak/>
        <w:t>Contents</w:t>
      </w:r>
    </w:p>
    <w:p w14:paraId="37FCE081" w14:textId="77777777" w:rsidR="005B4C21" w:rsidRDefault="005B4C21" w:rsidP="005B4C21"/>
    <w:p w14:paraId="7B3D960B" w14:textId="77777777" w:rsidR="005B4C21" w:rsidRDefault="005B4C21" w:rsidP="005B4C21">
      <w:pPr>
        <w:rPr>
          <w:rFonts w:ascii="Arial" w:hAnsi="Arial" w:cs="Arial"/>
          <w:sz w:val="28"/>
          <w:szCs w:val="28"/>
        </w:rPr>
      </w:pPr>
    </w:p>
    <w:p w14:paraId="04B21464" w14:textId="77777777" w:rsidR="005B4C21" w:rsidRDefault="005B4C21" w:rsidP="005B4C21">
      <w:pPr>
        <w:rPr>
          <w:rFonts w:ascii="Arial" w:hAnsi="Arial" w:cs="Arial"/>
          <w:sz w:val="28"/>
          <w:szCs w:val="28"/>
        </w:rPr>
      </w:pPr>
    </w:p>
    <w:p w14:paraId="3EC5057D" w14:textId="77777777" w:rsidR="005B4C21" w:rsidRDefault="005B4C21" w:rsidP="005B4C21">
      <w:pPr>
        <w:rPr>
          <w:rFonts w:ascii="Arial" w:hAnsi="Arial" w:cs="Arial"/>
          <w:sz w:val="28"/>
          <w:szCs w:val="28"/>
        </w:rPr>
      </w:pPr>
    </w:p>
    <w:p w14:paraId="277058FD" w14:textId="77777777" w:rsidR="005B4C21" w:rsidRDefault="005B4C21" w:rsidP="005B4C21">
      <w:pPr>
        <w:tabs>
          <w:tab w:val="left" w:pos="7938"/>
        </w:tabs>
        <w:rPr>
          <w:rFonts w:ascii="Arial" w:hAnsi="Arial" w:cs="Arial"/>
          <w:sz w:val="28"/>
          <w:szCs w:val="28"/>
        </w:rPr>
      </w:pPr>
      <w:r>
        <w:rPr>
          <w:rFonts w:ascii="Arial" w:hAnsi="Arial" w:cs="Arial"/>
          <w:sz w:val="28"/>
          <w:szCs w:val="28"/>
        </w:rPr>
        <w:t>Section 1 Introduction</w:t>
      </w:r>
      <w:r>
        <w:rPr>
          <w:rFonts w:ascii="Arial" w:hAnsi="Arial" w:cs="Arial"/>
          <w:sz w:val="28"/>
          <w:szCs w:val="28"/>
        </w:rPr>
        <w:tab/>
        <w:t>Page 4</w:t>
      </w:r>
    </w:p>
    <w:p w14:paraId="1C12ADD1" w14:textId="77777777" w:rsidR="005B4C21" w:rsidRDefault="005B4C21" w:rsidP="005B4C21">
      <w:pPr>
        <w:tabs>
          <w:tab w:val="left" w:pos="7938"/>
        </w:tabs>
        <w:rPr>
          <w:rFonts w:ascii="Arial" w:hAnsi="Arial" w:cs="Arial"/>
          <w:sz w:val="28"/>
          <w:szCs w:val="28"/>
        </w:rPr>
      </w:pPr>
    </w:p>
    <w:p w14:paraId="13A2DE7B" w14:textId="77777777" w:rsidR="005B4C21" w:rsidRDefault="005B4C21" w:rsidP="005B4C21">
      <w:pPr>
        <w:tabs>
          <w:tab w:val="left" w:pos="7938"/>
        </w:tabs>
        <w:rPr>
          <w:rFonts w:ascii="Arial" w:hAnsi="Arial" w:cs="Arial"/>
          <w:sz w:val="28"/>
          <w:szCs w:val="28"/>
        </w:rPr>
      </w:pPr>
    </w:p>
    <w:p w14:paraId="6A3DC6F5" w14:textId="5E7CB136" w:rsidR="005B4C21" w:rsidRDefault="005B4C21" w:rsidP="005B4C21">
      <w:pPr>
        <w:tabs>
          <w:tab w:val="left" w:pos="7938"/>
        </w:tabs>
        <w:rPr>
          <w:rFonts w:ascii="Arial" w:hAnsi="Arial" w:cs="Arial"/>
          <w:sz w:val="28"/>
          <w:szCs w:val="28"/>
        </w:rPr>
      </w:pPr>
      <w:r>
        <w:rPr>
          <w:rFonts w:ascii="Arial" w:hAnsi="Arial" w:cs="Arial"/>
          <w:sz w:val="28"/>
          <w:szCs w:val="28"/>
        </w:rPr>
        <w:t>Section 2 Disclosures</w:t>
      </w:r>
      <w:r>
        <w:rPr>
          <w:rFonts w:ascii="Arial" w:hAnsi="Arial" w:cs="Arial"/>
          <w:sz w:val="28"/>
          <w:szCs w:val="28"/>
        </w:rPr>
        <w:tab/>
        <w:t>Page 4</w:t>
      </w:r>
    </w:p>
    <w:p w14:paraId="5F06A0A2" w14:textId="77777777" w:rsidR="005B4C21" w:rsidRDefault="005B4C21" w:rsidP="005B4C21">
      <w:pPr>
        <w:tabs>
          <w:tab w:val="left" w:pos="7938"/>
        </w:tabs>
        <w:rPr>
          <w:rFonts w:ascii="Arial" w:hAnsi="Arial" w:cs="Arial"/>
          <w:sz w:val="28"/>
          <w:szCs w:val="28"/>
        </w:rPr>
      </w:pPr>
    </w:p>
    <w:p w14:paraId="1C4D5BD1" w14:textId="77777777" w:rsidR="005B4C21" w:rsidRDefault="005B4C21" w:rsidP="005B4C21">
      <w:pPr>
        <w:tabs>
          <w:tab w:val="left" w:pos="7938"/>
        </w:tabs>
        <w:rPr>
          <w:rFonts w:ascii="Arial" w:hAnsi="Arial" w:cs="Arial"/>
          <w:sz w:val="28"/>
          <w:szCs w:val="28"/>
        </w:rPr>
      </w:pPr>
    </w:p>
    <w:p w14:paraId="5EC82928" w14:textId="5EF0B3B0" w:rsidR="005B4C21" w:rsidRDefault="005B4C21" w:rsidP="005B4C21">
      <w:pPr>
        <w:tabs>
          <w:tab w:val="left" w:pos="7938"/>
        </w:tabs>
        <w:rPr>
          <w:rFonts w:ascii="Arial" w:hAnsi="Arial" w:cs="Arial"/>
          <w:sz w:val="28"/>
          <w:szCs w:val="28"/>
        </w:rPr>
      </w:pPr>
      <w:r>
        <w:rPr>
          <w:rFonts w:ascii="Arial" w:hAnsi="Arial" w:cs="Arial"/>
          <w:sz w:val="28"/>
          <w:szCs w:val="28"/>
        </w:rPr>
        <w:t>Section 3 Payments in Excess of £25,000</w:t>
      </w:r>
      <w:r>
        <w:rPr>
          <w:rFonts w:ascii="Arial" w:hAnsi="Arial" w:cs="Arial"/>
          <w:sz w:val="28"/>
          <w:szCs w:val="28"/>
        </w:rPr>
        <w:tab/>
        <w:t>Page 5</w:t>
      </w:r>
    </w:p>
    <w:p w14:paraId="3FDFC144" w14:textId="77777777" w:rsidR="005B4C21" w:rsidRDefault="005B4C21" w:rsidP="005B4C21">
      <w:pPr>
        <w:tabs>
          <w:tab w:val="left" w:pos="7938"/>
        </w:tabs>
        <w:rPr>
          <w:rFonts w:ascii="Arial" w:hAnsi="Arial" w:cs="Arial"/>
          <w:sz w:val="28"/>
          <w:szCs w:val="28"/>
        </w:rPr>
      </w:pPr>
    </w:p>
    <w:p w14:paraId="06063076" w14:textId="77777777" w:rsidR="005B4C21" w:rsidRDefault="005B4C21" w:rsidP="005B4C21">
      <w:pPr>
        <w:tabs>
          <w:tab w:val="left" w:pos="7938"/>
        </w:tabs>
        <w:rPr>
          <w:rFonts w:ascii="Arial" w:hAnsi="Arial" w:cs="Arial"/>
          <w:sz w:val="28"/>
          <w:szCs w:val="28"/>
        </w:rPr>
      </w:pPr>
    </w:p>
    <w:p w14:paraId="367DE1C7" w14:textId="2999A953" w:rsidR="005B4C21" w:rsidRDefault="005B4C21" w:rsidP="005B4C21">
      <w:pPr>
        <w:tabs>
          <w:tab w:val="left" w:pos="7938"/>
        </w:tabs>
        <w:rPr>
          <w:rFonts w:ascii="Arial" w:hAnsi="Arial" w:cs="Arial"/>
          <w:sz w:val="28"/>
          <w:szCs w:val="28"/>
        </w:rPr>
      </w:pPr>
      <w:r>
        <w:rPr>
          <w:rFonts w:ascii="Arial" w:hAnsi="Arial" w:cs="Arial"/>
          <w:sz w:val="28"/>
          <w:szCs w:val="28"/>
        </w:rPr>
        <w:t>Section 4 Staff earning over £150,000</w:t>
      </w:r>
      <w:r>
        <w:rPr>
          <w:rFonts w:ascii="Arial" w:hAnsi="Arial" w:cs="Arial"/>
          <w:sz w:val="28"/>
          <w:szCs w:val="28"/>
        </w:rPr>
        <w:tab/>
        <w:t>Page 5</w:t>
      </w:r>
    </w:p>
    <w:p w14:paraId="164B7101" w14:textId="77777777" w:rsidR="005B4C21" w:rsidRDefault="005B4C21" w:rsidP="005B4C21">
      <w:pPr>
        <w:tabs>
          <w:tab w:val="left" w:pos="7938"/>
        </w:tabs>
        <w:rPr>
          <w:rFonts w:ascii="Arial" w:hAnsi="Arial" w:cs="Arial"/>
          <w:sz w:val="28"/>
          <w:szCs w:val="28"/>
        </w:rPr>
      </w:pPr>
    </w:p>
    <w:p w14:paraId="673AE171" w14:textId="77777777" w:rsidR="005B4C21" w:rsidRDefault="005B4C21" w:rsidP="005B4C21">
      <w:pPr>
        <w:tabs>
          <w:tab w:val="left" w:pos="7938"/>
        </w:tabs>
        <w:rPr>
          <w:rFonts w:ascii="Arial" w:hAnsi="Arial" w:cs="Arial"/>
          <w:sz w:val="28"/>
          <w:szCs w:val="28"/>
        </w:rPr>
      </w:pPr>
    </w:p>
    <w:p w14:paraId="58E7A116" w14:textId="1E5F4EFD" w:rsidR="005B4C21" w:rsidRDefault="005B4C21" w:rsidP="005B4C21">
      <w:pPr>
        <w:tabs>
          <w:tab w:val="left" w:pos="7938"/>
        </w:tabs>
        <w:rPr>
          <w:rFonts w:ascii="Arial" w:hAnsi="Arial" w:cs="Arial"/>
          <w:sz w:val="28"/>
          <w:szCs w:val="28"/>
        </w:rPr>
      </w:pPr>
      <w:r>
        <w:rPr>
          <w:rFonts w:ascii="Arial" w:hAnsi="Arial" w:cs="Arial"/>
          <w:sz w:val="28"/>
          <w:szCs w:val="28"/>
        </w:rPr>
        <w:t>Section 5 Statement on Sustainable Growth</w:t>
      </w:r>
      <w:r>
        <w:rPr>
          <w:rFonts w:ascii="Arial" w:hAnsi="Arial" w:cs="Arial"/>
          <w:sz w:val="28"/>
          <w:szCs w:val="28"/>
        </w:rPr>
        <w:tab/>
        <w:t>Page 5</w:t>
      </w:r>
    </w:p>
    <w:p w14:paraId="491BBE8E" w14:textId="77777777" w:rsidR="005B4C21" w:rsidRDefault="005B4C21" w:rsidP="005B4C21">
      <w:pPr>
        <w:tabs>
          <w:tab w:val="left" w:pos="7938"/>
        </w:tabs>
        <w:rPr>
          <w:rFonts w:ascii="Arial" w:hAnsi="Arial" w:cs="Arial"/>
          <w:sz w:val="28"/>
          <w:szCs w:val="28"/>
        </w:rPr>
      </w:pPr>
    </w:p>
    <w:p w14:paraId="486A2733" w14:textId="77777777" w:rsidR="005B4C21" w:rsidRDefault="005B4C21" w:rsidP="005B4C21">
      <w:pPr>
        <w:tabs>
          <w:tab w:val="left" w:pos="7938"/>
        </w:tabs>
        <w:rPr>
          <w:rFonts w:ascii="Arial" w:hAnsi="Arial" w:cs="Arial"/>
          <w:sz w:val="28"/>
          <w:szCs w:val="28"/>
        </w:rPr>
      </w:pPr>
    </w:p>
    <w:p w14:paraId="2B6EB2A9" w14:textId="0837E82B" w:rsidR="005B4C21" w:rsidRDefault="005B4C21" w:rsidP="005B4C21">
      <w:pPr>
        <w:tabs>
          <w:tab w:val="left" w:pos="7938"/>
        </w:tabs>
        <w:rPr>
          <w:rFonts w:ascii="Arial" w:hAnsi="Arial" w:cs="Arial"/>
          <w:sz w:val="28"/>
          <w:szCs w:val="28"/>
        </w:rPr>
      </w:pPr>
      <w:r>
        <w:rPr>
          <w:rFonts w:ascii="Arial" w:hAnsi="Arial" w:cs="Arial"/>
          <w:sz w:val="28"/>
          <w:szCs w:val="28"/>
        </w:rPr>
        <w:t>Section 6 Efficiency Statement</w:t>
      </w:r>
      <w:r>
        <w:rPr>
          <w:rFonts w:ascii="Arial" w:hAnsi="Arial" w:cs="Arial"/>
          <w:sz w:val="28"/>
          <w:szCs w:val="28"/>
        </w:rPr>
        <w:tab/>
        <w:t xml:space="preserve">Page </w:t>
      </w:r>
      <w:r w:rsidR="00C90E42">
        <w:rPr>
          <w:rFonts w:ascii="Arial" w:hAnsi="Arial" w:cs="Arial"/>
          <w:sz w:val="28"/>
          <w:szCs w:val="28"/>
        </w:rPr>
        <w:t>8</w:t>
      </w:r>
    </w:p>
    <w:p w14:paraId="3D18D394" w14:textId="246ECD95" w:rsidR="005B4C21" w:rsidRDefault="005B4C21" w:rsidP="005B4C21">
      <w:pPr>
        <w:tabs>
          <w:tab w:val="left" w:pos="7938"/>
          <w:tab w:val="left" w:pos="8203"/>
        </w:tabs>
        <w:rPr>
          <w:rFonts w:ascii="Arial" w:hAnsi="Arial" w:cs="Arial"/>
          <w:sz w:val="28"/>
          <w:szCs w:val="28"/>
        </w:rPr>
      </w:pPr>
    </w:p>
    <w:p w14:paraId="49D1A2D9" w14:textId="77777777" w:rsidR="005B4C21" w:rsidRDefault="005B4C21" w:rsidP="005B4C21">
      <w:pPr>
        <w:tabs>
          <w:tab w:val="left" w:pos="7938"/>
          <w:tab w:val="left" w:pos="8203"/>
        </w:tabs>
        <w:rPr>
          <w:rFonts w:ascii="Arial" w:hAnsi="Arial" w:cs="Arial"/>
          <w:sz w:val="28"/>
          <w:szCs w:val="28"/>
        </w:rPr>
      </w:pPr>
    </w:p>
    <w:p w14:paraId="725DCEA6" w14:textId="304960DA" w:rsidR="005B4C21" w:rsidRPr="005B4C21" w:rsidRDefault="005B4C21" w:rsidP="005B4C21">
      <w:pPr>
        <w:spacing w:after="160" w:line="259" w:lineRule="auto"/>
        <w:rPr>
          <w:rFonts w:ascii="Arial" w:hAnsi="Arial" w:cs="Arial"/>
          <w:sz w:val="28"/>
          <w:szCs w:val="28"/>
        </w:rPr>
      </w:pPr>
      <w:r>
        <w:rPr>
          <w:rFonts w:cs="Arial"/>
          <w:b/>
          <w:sz w:val="28"/>
          <w:szCs w:val="28"/>
        </w:rPr>
        <w:br w:type="page"/>
      </w:r>
    </w:p>
    <w:p w14:paraId="2A2F78C7" w14:textId="5BD41606" w:rsidR="00ED4203" w:rsidRPr="00E90651" w:rsidRDefault="00E90651">
      <w:pPr>
        <w:rPr>
          <w:sz w:val="32"/>
          <w:szCs w:val="32"/>
        </w:rPr>
      </w:pPr>
      <w:r w:rsidRPr="00E90651">
        <w:rPr>
          <w:b/>
          <w:sz w:val="32"/>
          <w:szCs w:val="32"/>
        </w:rPr>
        <w:lastRenderedPageBreak/>
        <w:t>sport</w:t>
      </w:r>
      <w:r w:rsidRPr="00E90651">
        <w:rPr>
          <w:sz w:val="32"/>
          <w:szCs w:val="32"/>
        </w:rPr>
        <w:t>scotland</w:t>
      </w:r>
    </w:p>
    <w:p w14:paraId="00AD0CE6" w14:textId="63414613" w:rsidR="00E90651" w:rsidRPr="006A6997" w:rsidRDefault="00E90651">
      <w:pPr>
        <w:rPr>
          <w:sz w:val="32"/>
          <w:szCs w:val="32"/>
        </w:rPr>
      </w:pPr>
      <w:r w:rsidRPr="00E90651">
        <w:rPr>
          <w:sz w:val="32"/>
          <w:szCs w:val="32"/>
        </w:rPr>
        <w:t>Public Service Reform (Scotlan</w:t>
      </w:r>
      <w:r w:rsidR="006A6997">
        <w:rPr>
          <w:sz w:val="32"/>
          <w:szCs w:val="32"/>
        </w:rPr>
        <w:t>d) Act 2010 Disclosures 20</w:t>
      </w:r>
      <w:r w:rsidR="00CB3177">
        <w:rPr>
          <w:sz w:val="32"/>
          <w:szCs w:val="32"/>
        </w:rPr>
        <w:t>2</w:t>
      </w:r>
      <w:r w:rsidR="00E84AC0">
        <w:rPr>
          <w:sz w:val="32"/>
          <w:szCs w:val="32"/>
        </w:rPr>
        <w:t>1</w:t>
      </w:r>
      <w:r w:rsidR="00BF4BFD">
        <w:rPr>
          <w:sz w:val="32"/>
          <w:szCs w:val="32"/>
        </w:rPr>
        <w:t>-2</w:t>
      </w:r>
      <w:r w:rsidR="00E84AC0">
        <w:rPr>
          <w:sz w:val="32"/>
          <w:szCs w:val="32"/>
        </w:rPr>
        <w:t>2</w:t>
      </w:r>
    </w:p>
    <w:p w14:paraId="09D49439" w14:textId="77777777" w:rsidR="00E90651" w:rsidRPr="00B47C78" w:rsidRDefault="00E90651" w:rsidP="00E90651">
      <w:pPr>
        <w:pStyle w:val="ListParagraph"/>
        <w:numPr>
          <w:ilvl w:val="0"/>
          <w:numId w:val="1"/>
        </w:numPr>
        <w:rPr>
          <w:b/>
        </w:rPr>
      </w:pPr>
      <w:r w:rsidRPr="00B47C78">
        <w:rPr>
          <w:b/>
        </w:rPr>
        <w:t>Introduction</w:t>
      </w:r>
    </w:p>
    <w:p w14:paraId="3B46F8D2" w14:textId="77777777" w:rsidR="00E90651" w:rsidRDefault="00E90651" w:rsidP="00E90651">
      <w:pPr>
        <w:pStyle w:val="ListParagraph"/>
      </w:pPr>
    </w:p>
    <w:p w14:paraId="2CC4526A" w14:textId="77777777" w:rsidR="00E90651" w:rsidRDefault="00E90651" w:rsidP="00806012">
      <w:pPr>
        <w:pStyle w:val="ListParagraph"/>
        <w:numPr>
          <w:ilvl w:val="1"/>
          <w:numId w:val="1"/>
        </w:numPr>
        <w:jc w:val="both"/>
      </w:pPr>
      <w:r>
        <w:t>The Public Services Reform (Scotland) Act 2010 introduced duties to publish information for public bodies in Scotland.</w:t>
      </w:r>
    </w:p>
    <w:p w14:paraId="73EAA75D" w14:textId="77777777" w:rsidR="003F1246" w:rsidRDefault="003F1246" w:rsidP="003F1246">
      <w:pPr>
        <w:pStyle w:val="ListParagraph"/>
        <w:ind w:left="735"/>
        <w:jc w:val="both"/>
      </w:pPr>
    </w:p>
    <w:p w14:paraId="029A7EA2" w14:textId="1DFA61E7" w:rsidR="00E90651" w:rsidRDefault="00E90651" w:rsidP="00806012">
      <w:pPr>
        <w:pStyle w:val="ListParagraph"/>
        <w:numPr>
          <w:ilvl w:val="1"/>
          <w:numId w:val="1"/>
        </w:numPr>
        <w:jc w:val="both"/>
      </w:pPr>
      <w:r>
        <w:t xml:space="preserve">This report summarises the information required to be disclosed by the Act in relation to </w:t>
      </w:r>
      <w:r w:rsidRPr="00E90651">
        <w:rPr>
          <w:b/>
        </w:rPr>
        <w:t>sport</w:t>
      </w:r>
      <w:r>
        <w:t xml:space="preserve">scotland and the </w:t>
      </w:r>
      <w:r w:rsidRPr="00E90651">
        <w:rPr>
          <w:b/>
        </w:rPr>
        <w:t>sport</w:t>
      </w:r>
      <w:r>
        <w:t>scotland National Lottery Distribution Fund for the financial year ended 31 March 20</w:t>
      </w:r>
      <w:r w:rsidR="00BF4BFD">
        <w:t>2</w:t>
      </w:r>
      <w:r w:rsidR="00E84AC0">
        <w:t>2</w:t>
      </w:r>
      <w:r w:rsidR="00BF4BFD">
        <w:t>.</w:t>
      </w:r>
    </w:p>
    <w:p w14:paraId="7BF8C352" w14:textId="77777777" w:rsidR="00E90651" w:rsidRDefault="00E90651" w:rsidP="00E90651">
      <w:pPr>
        <w:pStyle w:val="ListParagraph"/>
      </w:pPr>
    </w:p>
    <w:p w14:paraId="116A2305" w14:textId="77777777" w:rsidR="00E90651" w:rsidRPr="00B47C78" w:rsidRDefault="00E90651" w:rsidP="00E90651">
      <w:pPr>
        <w:pStyle w:val="ListParagraph"/>
        <w:numPr>
          <w:ilvl w:val="0"/>
          <w:numId w:val="1"/>
        </w:numPr>
        <w:rPr>
          <w:b/>
        </w:rPr>
      </w:pPr>
      <w:r w:rsidRPr="00B47C78">
        <w:rPr>
          <w:b/>
        </w:rPr>
        <w:t>Disclosures</w:t>
      </w:r>
    </w:p>
    <w:tbl>
      <w:tblPr>
        <w:tblStyle w:val="TableGrid"/>
        <w:tblW w:w="0" w:type="auto"/>
        <w:tblLook w:val="04A0" w:firstRow="1" w:lastRow="0" w:firstColumn="1" w:lastColumn="0" w:noHBand="0" w:noVBand="1"/>
      </w:tblPr>
      <w:tblGrid>
        <w:gridCol w:w="1795"/>
        <w:gridCol w:w="2365"/>
        <w:gridCol w:w="4856"/>
      </w:tblGrid>
      <w:tr w:rsidR="00E90651" w:rsidRPr="00B47C78" w14:paraId="1E2E0514" w14:textId="77777777" w:rsidTr="50A2A37C">
        <w:tc>
          <w:tcPr>
            <w:tcW w:w="1809" w:type="dxa"/>
          </w:tcPr>
          <w:p w14:paraId="2FCE3562" w14:textId="77777777" w:rsidR="00E90651" w:rsidRPr="00B47C78" w:rsidRDefault="00E90651" w:rsidP="00E90651">
            <w:pPr>
              <w:rPr>
                <w:b/>
              </w:rPr>
            </w:pPr>
            <w:r w:rsidRPr="00B47C78">
              <w:rPr>
                <w:b/>
              </w:rPr>
              <w:t>Category</w:t>
            </w:r>
          </w:p>
        </w:tc>
        <w:tc>
          <w:tcPr>
            <w:tcW w:w="2410" w:type="dxa"/>
          </w:tcPr>
          <w:p w14:paraId="14E2BDC8" w14:textId="00B5928C" w:rsidR="00E90651" w:rsidRPr="00B47C78" w:rsidRDefault="00E90651" w:rsidP="50A2A37C">
            <w:pPr>
              <w:rPr>
                <w:b/>
                <w:bCs/>
              </w:rPr>
            </w:pPr>
            <w:r w:rsidRPr="50A2A37C">
              <w:rPr>
                <w:b/>
                <w:bCs/>
              </w:rPr>
              <w:t>Expenditure 20</w:t>
            </w:r>
            <w:r w:rsidR="00CB3177">
              <w:rPr>
                <w:b/>
                <w:bCs/>
              </w:rPr>
              <w:t>2</w:t>
            </w:r>
            <w:r w:rsidR="00E84AC0">
              <w:rPr>
                <w:b/>
                <w:bCs/>
              </w:rPr>
              <w:t>1</w:t>
            </w:r>
            <w:r w:rsidRPr="50A2A37C">
              <w:rPr>
                <w:b/>
                <w:bCs/>
              </w:rPr>
              <w:t>/</w:t>
            </w:r>
            <w:r w:rsidR="1DE45B5F" w:rsidRPr="50A2A37C">
              <w:rPr>
                <w:b/>
                <w:bCs/>
              </w:rPr>
              <w:t>2</w:t>
            </w:r>
            <w:r w:rsidR="00E84AC0">
              <w:rPr>
                <w:b/>
                <w:bCs/>
              </w:rPr>
              <w:t>2</w:t>
            </w:r>
          </w:p>
        </w:tc>
        <w:tc>
          <w:tcPr>
            <w:tcW w:w="5023" w:type="dxa"/>
          </w:tcPr>
          <w:p w14:paraId="59975894" w14:textId="77777777" w:rsidR="00E90651" w:rsidRPr="00B47C78" w:rsidRDefault="00E90651" w:rsidP="00E90651">
            <w:pPr>
              <w:rPr>
                <w:b/>
              </w:rPr>
            </w:pPr>
            <w:r w:rsidRPr="00B47C78">
              <w:rPr>
                <w:b/>
              </w:rPr>
              <w:t>Comments</w:t>
            </w:r>
          </w:p>
        </w:tc>
      </w:tr>
      <w:tr w:rsidR="00E90651" w14:paraId="462BBD80" w14:textId="77777777" w:rsidTr="50A2A37C">
        <w:tc>
          <w:tcPr>
            <w:tcW w:w="1809" w:type="dxa"/>
          </w:tcPr>
          <w:p w14:paraId="6685858A" w14:textId="77777777" w:rsidR="00E90651" w:rsidRDefault="00E90651" w:rsidP="00E90651">
            <w:r>
              <w:t>Public relations</w:t>
            </w:r>
          </w:p>
        </w:tc>
        <w:tc>
          <w:tcPr>
            <w:tcW w:w="2410" w:type="dxa"/>
          </w:tcPr>
          <w:p w14:paraId="3E48306E" w14:textId="0D6FD8B7" w:rsidR="00E90651" w:rsidRPr="000248C2" w:rsidRDefault="00E90651" w:rsidP="00E90651">
            <w:r w:rsidRPr="000248C2">
              <w:t xml:space="preserve">Total staff costs = </w:t>
            </w:r>
            <w:r w:rsidR="00D6604A" w:rsidRPr="000248C2">
              <w:t>£</w:t>
            </w:r>
            <w:r w:rsidR="000248C2" w:rsidRPr="000248C2">
              <w:t>1</w:t>
            </w:r>
            <w:r w:rsidR="00F84D75">
              <w:t>55</w:t>
            </w:r>
            <w:r w:rsidR="00D6604A" w:rsidRPr="000248C2">
              <w:t>k (of which £</w:t>
            </w:r>
            <w:r w:rsidR="000248C2" w:rsidRPr="000248C2">
              <w:t>1</w:t>
            </w:r>
            <w:r w:rsidR="00DB45CA">
              <w:t>20</w:t>
            </w:r>
            <w:r w:rsidR="00D6604A" w:rsidRPr="000248C2">
              <w:t>k is salaries and £</w:t>
            </w:r>
            <w:r w:rsidR="000248C2" w:rsidRPr="000248C2">
              <w:t>3</w:t>
            </w:r>
            <w:r w:rsidR="00DB45CA">
              <w:t>5</w:t>
            </w:r>
            <w:r w:rsidR="00D6604A" w:rsidRPr="000248C2">
              <w:t>k</w:t>
            </w:r>
            <w:r w:rsidRPr="000248C2">
              <w:t xml:space="preserve"> is on costs</w:t>
            </w:r>
            <w:r w:rsidR="00D6604A" w:rsidRPr="000248C2">
              <w:t>)</w:t>
            </w:r>
          </w:p>
          <w:p w14:paraId="7276C32D" w14:textId="77777777" w:rsidR="00E90651" w:rsidRPr="00F040E0" w:rsidRDefault="00E90651" w:rsidP="00E90651">
            <w:pPr>
              <w:rPr>
                <w:highlight w:val="yellow"/>
              </w:rPr>
            </w:pPr>
          </w:p>
          <w:p w14:paraId="512A7FAC" w14:textId="7DAB5B0C" w:rsidR="00E90651" w:rsidRPr="004D2048" w:rsidRDefault="00D6604A" w:rsidP="00E90651">
            <w:r w:rsidRPr="00B0516D">
              <w:t>External costs = £</w:t>
            </w:r>
            <w:r w:rsidR="003E6A59">
              <w:t>1</w:t>
            </w:r>
            <w:r w:rsidR="000710AA">
              <w:t>2</w:t>
            </w:r>
            <w:r w:rsidR="003E6A59">
              <w:t>k</w:t>
            </w:r>
          </w:p>
          <w:p w14:paraId="6670B9BB" w14:textId="77777777" w:rsidR="00E90651" w:rsidRPr="004D2048" w:rsidRDefault="00E90651" w:rsidP="00E90651"/>
          <w:p w14:paraId="0D922962" w14:textId="77777777" w:rsidR="00E90651" w:rsidRPr="004D2048" w:rsidRDefault="00E90651" w:rsidP="00E90651"/>
        </w:tc>
        <w:tc>
          <w:tcPr>
            <w:tcW w:w="5023" w:type="dxa"/>
          </w:tcPr>
          <w:p w14:paraId="2A3ACA45" w14:textId="2E685651" w:rsidR="00E90651" w:rsidRDefault="00E90651" w:rsidP="00E90651">
            <w:r w:rsidRPr="004D2048">
              <w:t>On costs relate to employer’s national insurance and employer’s pension contributions.</w:t>
            </w:r>
          </w:p>
          <w:p w14:paraId="16694780" w14:textId="77777777" w:rsidR="00F5077C" w:rsidRPr="004D2048" w:rsidRDefault="00F5077C" w:rsidP="00E90651"/>
          <w:p w14:paraId="257A48D2" w14:textId="61029869" w:rsidR="00E90651" w:rsidRDefault="00E90651" w:rsidP="00E90651">
            <w:r w:rsidRPr="004D2048">
              <w:t>External costs for the public relations category includes expenditure on media relations and PR.</w:t>
            </w:r>
          </w:p>
          <w:p w14:paraId="5850862B" w14:textId="77777777" w:rsidR="00F5077C" w:rsidRPr="004D2048" w:rsidRDefault="00F5077C" w:rsidP="00E90651"/>
          <w:p w14:paraId="43BF5776" w14:textId="77777777" w:rsidR="00E90651" w:rsidRDefault="00E90651" w:rsidP="00E90651">
            <w:r w:rsidRPr="004D2048">
              <w:t xml:space="preserve">This activity is aimed at helping </w:t>
            </w:r>
            <w:r w:rsidRPr="48F06CD5">
              <w:rPr>
                <w:b/>
                <w:bCs/>
              </w:rPr>
              <w:t>sport</w:t>
            </w:r>
            <w:r w:rsidRPr="004D2048">
              <w:t xml:space="preserve">scotland to fulfil its role in developing and promoting a world class sporting system in Scotland, raising awareness of achievements in sport from grassroots to high performance and sharing information effectively on the work of </w:t>
            </w:r>
            <w:r w:rsidRPr="48F06CD5">
              <w:rPr>
                <w:b/>
                <w:bCs/>
              </w:rPr>
              <w:t>sport</w:t>
            </w:r>
            <w:r w:rsidRPr="004D2048">
              <w:t>scotland.</w:t>
            </w:r>
          </w:p>
          <w:p w14:paraId="7A205A0E" w14:textId="60309B36" w:rsidR="00F5077C" w:rsidRPr="004D2048" w:rsidRDefault="00F5077C" w:rsidP="00E90651"/>
        </w:tc>
      </w:tr>
      <w:tr w:rsidR="00E90651" w14:paraId="709E4118" w14:textId="77777777" w:rsidTr="50A2A37C">
        <w:tc>
          <w:tcPr>
            <w:tcW w:w="1809" w:type="dxa"/>
          </w:tcPr>
          <w:p w14:paraId="1711BF6E" w14:textId="77777777" w:rsidR="00E90651" w:rsidRDefault="00E90651" w:rsidP="00E90651">
            <w:r>
              <w:t>Overseas travel</w:t>
            </w:r>
          </w:p>
        </w:tc>
        <w:tc>
          <w:tcPr>
            <w:tcW w:w="2410" w:type="dxa"/>
          </w:tcPr>
          <w:p w14:paraId="1EE98FF7" w14:textId="7ADB3579" w:rsidR="00E90651" w:rsidRPr="005B4C21" w:rsidRDefault="00D6604A" w:rsidP="00E90651">
            <w:r w:rsidRPr="005B4C21">
              <w:t>£</w:t>
            </w:r>
            <w:r w:rsidR="00823389">
              <w:t>nil</w:t>
            </w:r>
          </w:p>
        </w:tc>
        <w:tc>
          <w:tcPr>
            <w:tcW w:w="5023" w:type="dxa"/>
          </w:tcPr>
          <w:p w14:paraId="6ABC986E" w14:textId="77777777" w:rsidR="00B47C78" w:rsidRDefault="00E90651" w:rsidP="00E90651">
            <w:r w:rsidRPr="005B4C21">
              <w:t>As part of our role</w:t>
            </w:r>
            <w:r w:rsidR="00B47C78" w:rsidRPr="005B4C21">
              <w:t xml:space="preserve"> in promoting and supporting the world class sporting system in Scotland, there is </w:t>
            </w:r>
            <w:r w:rsidR="00823389">
              <w:t xml:space="preserve">sometimes </w:t>
            </w:r>
            <w:r w:rsidR="00B47C78" w:rsidRPr="005B4C21">
              <w:t xml:space="preserve">a requirement for </w:t>
            </w:r>
            <w:r w:rsidR="00B47C78" w:rsidRPr="004F42EE">
              <w:rPr>
                <w:b/>
                <w:bCs/>
              </w:rPr>
              <w:t>sport</w:t>
            </w:r>
            <w:r w:rsidR="00B47C78" w:rsidRPr="005B4C21">
              <w:t>scotland staff to travel overseas in support of key international competitions and training events.</w:t>
            </w:r>
          </w:p>
          <w:p w14:paraId="46D1906B" w14:textId="019FCE5E" w:rsidR="00F5077C" w:rsidRPr="005B4C21" w:rsidRDefault="00F5077C" w:rsidP="00E90651"/>
        </w:tc>
      </w:tr>
      <w:tr w:rsidR="00E90651" w14:paraId="44543D7D" w14:textId="77777777" w:rsidTr="50A2A37C">
        <w:tc>
          <w:tcPr>
            <w:tcW w:w="1809" w:type="dxa"/>
          </w:tcPr>
          <w:p w14:paraId="0234346D" w14:textId="77777777" w:rsidR="00E90651" w:rsidRDefault="00B47C78" w:rsidP="00E90651">
            <w:r>
              <w:t>Hospitality and entertainment</w:t>
            </w:r>
          </w:p>
        </w:tc>
        <w:tc>
          <w:tcPr>
            <w:tcW w:w="2410" w:type="dxa"/>
          </w:tcPr>
          <w:p w14:paraId="7909B294" w14:textId="77777777" w:rsidR="00B47C78" w:rsidRDefault="00B47C78" w:rsidP="00E90651">
            <w:r w:rsidRPr="48F06CD5">
              <w:rPr>
                <w:b/>
                <w:bCs/>
              </w:rPr>
              <w:t>sport</w:t>
            </w:r>
            <w:r w:rsidR="00D6604A" w:rsidRPr="004D2048">
              <w:t>scotland staff expenses = nil</w:t>
            </w:r>
          </w:p>
          <w:p w14:paraId="5638B93B" w14:textId="4C1FBFB0" w:rsidR="00F5077C" w:rsidRPr="006202C7" w:rsidRDefault="00F5077C" w:rsidP="00E90651"/>
        </w:tc>
        <w:tc>
          <w:tcPr>
            <w:tcW w:w="5023" w:type="dxa"/>
          </w:tcPr>
          <w:p w14:paraId="5926E60C" w14:textId="0E45AF17" w:rsidR="00E90651" w:rsidRPr="00CF73C5" w:rsidRDefault="00E90651" w:rsidP="00E90651">
            <w:pPr>
              <w:rPr>
                <w:highlight w:val="yellow"/>
              </w:rPr>
            </w:pPr>
          </w:p>
        </w:tc>
      </w:tr>
      <w:tr w:rsidR="00E90651" w14:paraId="1FF87383" w14:textId="77777777" w:rsidTr="50A2A37C">
        <w:tc>
          <w:tcPr>
            <w:tcW w:w="1809" w:type="dxa"/>
          </w:tcPr>
          <w:p w14:paraId="6EC7CA29" w14:textId="77777777" w:rsidR="00E90651" w:rsidRDefault="00B47C78" w:rsidP="00E90651">
            <w:r>
              <w:t>External consultancy</w:t>
            </w:r>
          </w:p>
          <w:p w14:paraId="01A37A5D" w14:textId="77777777" w:rsidR="00B47C78" w:rsidRDefault="00B47C78" w:rsidP="00E90651"/>
        </w:tc>
        <w:tc>
          <w:tcPr>
            <w:tcW w:w="2410" w:type="dxa"/>
          </w:tcPr>
          <w:p w14:paraId="7799F1D0" w14:textId="11B44C39" w:rsidR="00E90651" w:rsidRPr="004D2048" w:rsidRDefault="00D6604A" w:rsidP="00E90651">
            <w:r w:rsidRPr="008C610E">
              <w:t>£</w:t>
            </w:r>
            <w:r w:rsidR="00A70913">
              <w:t>19</w:t>
            </w:r>
            <w:r w:rsidRPr="008C610E">
              <w:t>k</w:t>
            </w:r>
          </w:p>
        </w:tc>
        <w:tc>
          <w:tcPr>
            <w:tcW w:w="5023" w:type="dxa"/>
          </w:tcPr>
          <w:p w14:paraId="2CA2EE61" w14:textId="26A477CB" w:rsidR="00B47C78" w:rsidRDefault="00D6604A" w:rsidP="00C6495A">
            <w:r w:rsidRPr="008C610E">
              <w:t>The main area</w:t>
            </w:r>
            <w:r w:rsidR="00B47C78" w:rsidRPr="008C610E">
              <w:t xml:space="preserve"> of consulta</w:t>
            </w:r>
            <w:r w:rsidR="00C6495A" w:rsidRPr="008C610E">
              <w:t>ncy expenditure in 20</w:t>
            </w:r>
            <w:r w:rsidR="00DE1A84">
              <w:t>2</w:t>
            </w:r>
            <w:r w:rsidR="00992D18">
              <w:t>1</w:t>
            </w:r>
            <w:r w:rsidR="00C6495A" w:rsidRPr="008C610E">
              <w:t>-</w:t>
            </w:r>
            <w:r w:rsidR="003B0B53" w:rsidRPr="008C610E">
              <w:t>2</w:t>
            </w:r>
            <w:r w:rsidR="00992D18">
              <w:t>2</w:t>
            </w:r>
            <w:r w:rsidR="00C6495A" w:rsidRPr="008C610E">
              <w:t xml:space="preserve"> </w:t>
            </w:r>
            <w:r w:rsidRPr="008C610E">
              <w:t>was</w:t>
            </w:r>
            <w:r w:rsidR="00F35175">
              <w:t xml:space="preserve"> the audit asset valuation report</w:t>
            </w:r>
            <w:r w:rsidR="00A70913">
              <w:t xml:space="preserve"> and pension valuation report, </w:t>
            </w:r>
            <w:r w:rsidR="004D2048" w:rsidRPr="008C610E">
              <w:t>along with some specialist support for HR and IT</w:t>
            </w:r>
            <w:r w:rsidR="00C6495A" w:rsidRPr="008C610E">
              <w:t>.</w:t>
            </w:r>
          </w:p>
          <w:p w14:paraId="57137190" w14:textId="0414CA56" w:rsidR="00F5077C" w:rsidRPr="00C36018" w:rsidRDefault="00F5077C" w:rsidP="00C6495A"/>
        </w:tc>
      </w:tr>
    </w:tbl>
    <w:p w14:paraId="048FDF7A" w14:textId="77777777" w:rsidR="006A6997" w:rsidRDefault="006A6997" w:rsidP="00E90651"/>
    <w:p w14:paraId="4D9CFD9B" w14:textId="77777777" w:rsidR="005B4C21" w:rsidRDefault="005B4C21">
      <w:pPr>
        <w:rPr>
          <w:b/>
        </w:rPr>
      </w:pPr>
      <w:r>
        <w:rPr>
          <w:b/>
        </w:rPr>
        <w:br w:type="page"/>
      </w:r>
    </w:p>
    <w:p w14:paraId="17E3D8A6" w14:textId="0A6130E2" w:rsidR="00B47C78" w:rsidRPr="006630F4" w:rsidRDefault="009405C4" w:rsidP="009405C4">
      <w:pPr>
        <w:pStyle w:val="ListParagraph"/>
        <w:numPr>
          <w:ilvl w:val="0"/>
          <w:numId w:val="1"/>
        </w:numPr>
        <w:rPr>
          <w:b/>
        </w:rPr>
      </w:pPr>
      <w:r w:rsidRPr="006630F4">
        <w:rPr>
          <w:b/>
        </w:rPr>
        <w:lastRenderedPageBreak/>
        <w:t>Payments in excess of £25,000</w:t>
      </w:r>
    </w:p>
    <w:p w14:paraId="226ABEF5" w14:textId="77777777" w:rsidR="009405C4" w:rsidRDefault="009405C4" w:rsidP="009405C4">
      <w:pPr>
        <w:pStyle w:val="ListParagraph"/>
      </w:pPr>
    </w:p>
    <w:p w14:paraId="7B4C197A" w14:textId="5873138F" w:rsidR="00806012" w:rsidRPr="005B4C21" w:rsidRDefault="00DE1595" w:rsidP="009414AE">
      <w:pPr>
        <w:pStyle w:val="ListParagraph"/>
        <w:numPr>
          <w:ilvl w:val="1"/>
          <w:numId w:val="1"/>
        </w:numPr>
      </w:pPr>
      <w:hyperlink r:id="rId14" w:history="1">
        <w:r w:rsidR="006630F4" w:rsidRPr="00DE1595">
          <w:rPr>
            <w:rStyle w:val="Hyperlink"/>
          </w:rPr>
          <w:t>Payments i</w:t>
        </w:r>
        <w:r w:rsidR="009405C4" w:rsidRPr="00DE1595">
          <w:rPr>
            <w:rStyle w:val="Hyperlink"/>
          </w:rPr>
          <w:t>n excess of £25,000</w:t>
        </w:r>
      </w:hyperlink>
      <w:r>
        <w:t>.</w:t>
      </w:r>
    </w:p>
    <w:p w14:paraId="11A948BF" w14:textId="77777777" w:rsidR="005B4C21" w:rsidRPr="009414AE" w:rsidRDefault="005B4C21" w:rsidP="005B4C21">
      <w:pPr>
        <w:ind w:left="360"/>
      </w:pPr>
    </w:p>
    <w:p w14:paraId="4051D1DC" w14:textId="21E22257" w:rsidR="006630F4" w:rsidRPr="00BD67C3" w:rsidRDefault="006630F4" w:rsidP="006630F4">
      <w:pPr>
        <w:pStyle w:val="ListParagraph"/>
        <w:numPr>
          <w:ilvl w:val="0"/>
          <w:numId w:val="1"/>
        </w:numPr>
        <w:rPr>
          <w:b/>
        </w:rPr>
      </w:pPr>
      <w:r w:rsidRPr="00BD67C3">
        <w:rPr>
          <w:b/>
        </w:rPr>
        <w:t>Staff earning over £150,000</w:t>
      </w:r>
    </w:p>
    <w:p w14:paraId="66E2438F" w14:textId="77777777" w:rsidR="00BD67C3" w:rsidRDefault="00BD67C3" w:rsidP="00BD67C3">
      <w:pPr>
        <w:pStyle w:val="ListParagraph"/>
      </w:pPr>
    </w:p>
    <w:p w14:paraId="2456F419" w14:textId="5758219D" w:rsidR="006630F4" w:rsidRDefault="006630F4" w:rsidP="006630F4">
      <w:pPr>
        <w:pStyle w:val="ListParagraph"/>
        <w:numPr>
          <w:ilvl w:val="1"/>
          <w:numId w:val="1"/>
        </w:numPr>
      </w:pPr>
      <w:r>
        <w:t>No employee earned over £150,000 in the year ended 31 March 20</w:t>
      </w:r>
      <w:r w:rsidR="00863EF9">
        <w:t>2</w:t>
      </w:r>
      <w:r w:rsidR="00BD6171">
        <w:t>2</w:t>
      </w:r>
      <w:r>
        <w:t>.</w:t>
      </w:r>
    </w:p>
    <w:p w14:paraId="1C97D54D" w14:textId="77777777" w:rsidR="00852B6B" w:rsidRDefault="00852B6B" w:rsidP="00852B6B">
      <w:pPr>
        <w:pStyle w:val="ListParagraph"/>
        <w:ind w:left="735"/>
      </w:pPr>
    </w:p>
    <w:p w14:paraId="3FB95018" w14:textId="21BE25D7" w:rsidR="006630F4" w:rsidRDefault="00BD67C3" w:rsidP="00806012">
      <w:pPr>
        <w:pStyle w:val="ListParagraph"/>
        <w:numPr>
          <w:ilvl w:val="1"/>
          <w:numId w:val="1"/>
        </w:numPr>
        <w:jc w:val="both"/>
      </w:pPr>
      <w:r>
        <w:t>Details of the remuneration for senior staff and board members can be found in the Remuneration Report published in the Annual Report and Financial statements for the year ended 31 March 20</w:t>
      </w:r>
      <w:r w:rsidR="00F35175">
        <w:t>2</w:t>
      </w:r>
      <w:r w:rsidR="00BD6171">
        <w:t>2</w:t>
      </w:r>
      <w:r>
        <w:t>.</w:t>
      </w:r>
    </w:p>
    <w:p w14:paraId="45173C64" w14:textId="77777777" w:rsidR="00BD67C3" w:rsidRDefault="00BD67C3" w:rsidP="00BD67C3"/>
    <w:p w14:paraId="51CC2C8E" w14:textId="50CC34ED" w:rsidR="00BD67C3" w:rsidRDefault="00BD67C3" w:rsidP="00BD67C3">
      <w:pPr>
        <w:pStyle w:val="ListParagraph"/>
        <w:numPr>
          <w:ilvl w:val="0"/>
          <w:numId w:val="1"/>
        </w:numPr>
        <w:rPr>
          <w:b/>
        </w:rPr>
      </w:pPr>
      <w:r w:rsidRPr="00BD67C3">
        <w:rPr>
          <w:b/>
        </w:rPr>
        <w:t>Statement on sustainable growth</w:t>
      </w:r>
    </w:p>
    <w:p w14:paraId="7886368A" w14:textId="77777777" w:rsidR="00BD67C3" w:rsidRPr="00BD67C3" w:rsidRDefault="00BD67C3" w:rsidP="00BD67C3">
      <w:pPr>
        <w:pStyle w:val="ListParagraph"/>
        <w:rPr>
          <w:b/>
        </w:rPr>
      </w:pPr>
    </w:p>
    <w:p w14:paraId="3E5ECD20" w14:textId="24C0DA74" w:rsidR="00BD67C3" w:rsidRDefault="00BD67C3" w:rsidP="00806012">
      <w:pPr>
        <w:pStyle w:val="ListParagraph"/>
        <w:numPr>
          <w:ilvl w:val="1"/>
          <w:numId w:val="1"/>
        </w:numPr>
        <w:jc w:val="both"/>
      </w:pPr>
      <w:r w:rsidRPr="00BD67C3">
        <w:rPr>
          <w:b/>
        </w:rPr>
        <w:t>sport</w:t>
      </w:r>
      <w:r>
        <w:t>scotland is committed to promoting and increasing sport development and activity through the exercise of its functions.  During the year ended 31 March 20</w:t>
      </w:r>
      <w:r w:rsidR="00F35175">
        <w:t>2</w:t>
      </w:r>
      <w:r w:rsidR="00BD6171">
        <w:t>2</w:t>
      </w:r>
      <w:r>
        <w:t xml:space="preserve">, </w:t>
      </w:r>
      <w:r w:rsidRPr="00774A9D">
        <w:rPr>
          <w:b/>
        </w:rPr>
        <w:t>sport</w:t>
      </w:r>
      <w:r>
        <w:t xml:space="preserve">scotland invested more than </w:t>
      </w:r>
      <w:r w:rsidR="001A08BC" w:rsidRPr="00926CA2">
        <w:t>£</w:t>
      </w:r>
      <w:r w:rsidR="00926CA2" w:rsidRPr="00926CA2">
        <w:t>6</w:t>
      </w:r>
      <w:r w:rsidR="00C36018">
        <w:t>0</w:t>
      </w:r>
      <w:r w:rsidR="001A08BC">
        <w:t xml:space="preserve"> million </w:t>
      </w:r>
      <w:r>
        <w:t>from both Scottish Government grant in aid and National Lottery funding, in Local Authorities, Sports Governing Bodies</w:t>
      </w:r>
      <w:r w:rsidR="00AB77BF">
        <w:t xml:space="preserve"> (“SGBs”</w:t>
      </w:r>
      <w:r w:rsidR="00C36018">
        <w:t>)</w:t>
      </w:r>
      <w:r>
        <w:t xml:space="preserve">, Community Sports Hubs and Sports Clubs, as well as in supporting athletes through the </w:t>
      </w:r>
      <w:r w:rsidR="00AB77BF" w:rsidRPr="00AB77BF">
        <w:rPr>
          <w:b/>
        </w:rPr>
        <w:t>sport</w:t>
      </w:r>
      <w:r w:rsidR="00AB77BF">
        <w:t>scotland</w:t>
      </w:r>
      <w:r>
        <w:t xml:space="preserve"> Institute of Sport. Significant amounts of this investment is in part or full funding of posts throughout the sporting system in Scotland, as well as funding for the development of sporting facilities.</w:t>
      </w:r>
    </w:p>
    <w:p w14:paraId="1457F4FF" w14:textId="77777777" w:rsidR="00956984" w:rsidRDefault="00956984" w:rsidP="00956984">
      <w:pPr>
        <w:pStyle w:val="ListParagraph"/>
        <w:ind w:left="735"/>
      </w:pPr>
    </w:p>
    <w:p w14:paraId="7FA56874" w14:textId="72B1E521" w:rsidR="00BD67C3" w:rsidRDefault="00BD67C3" w:rsidP="00BD67C3">
      <w:pPr>
        <w:pStyle w:val="ListParagraph"/>
        <w:numPr>
          <w:ilvl w:val="1"/>
          <w:numId w:val="1"/>
        </w:numPr>
      </w:pPr>
      <w:r>
        <w:t xml:space="preserve">Some examples of how </w:t>
      </w:r>
      <w:r w:rsidRPr="00BD67C3">
        <w:rPr>
          <w:b/>
        </w:rPr>
        <w:t>sport</w:t>
      </w:r>
      <w:r>
        <w:t>scotland supports sustainable growth include:</w:t>
      </w:r>
    </w:p>
    <w:p w14:paraId="7003EFE2" w14:textId="77777777" w:rsidR="00BD67C3" w:rsidRDefault="00BD67C3" w:rsidP="00BD67C3">
      <w:pPr>
        <w:pStyle w:val="ListParagraph"/>
        <w:ind w:left="735"/>
      </w:pPr>
    </w:p>
    <w:p w14:paraId="7108F455" w14:textId="77777777" w:rsidR="00B455B0" w:rsidRPr="00B455B0" w:rsidRDefault="00B455B0" w:rsidP="00B455B0">
      <w:pPr>
        <w:pStyle w:val="Heading5"/>
        <w:ind w:left="567"/>
        <w:rPr>
          <w:rFonts w:asciiTheme="minorHAnsi" w:hAnsiTheme="minorHAnsi" w:cstheme="minorHAnsi"/>
          <w:i/>
          <w:iCs/>
          <w:sz w:val="22"/>
          <w:szCs w:val="22"/>
        </w:rPr>
      </w:pPr>
      <w:r w:rsidRPr="00B455B0">
        <w:rPr>
          <w:rFonts w:asciiTheme="minorHAnsi" w:hAnsiTheme="minorHAnsi" w:cstheme="minorHAnsi"/>
          <w:i/>
          <w:iCs/>
          <w:sz w:val="22"/>
          <w:szCs w:val="22"/>
        </w:rPr>
        <w:t>Clubs and communities</w:t>
      </w:r>
    </w:p>
    <w:p w14:paraId="7F9247FA" w14:textId="77777777" w:rsidR="00B455B0" w:rsidRPr="00B455B0" w:rsidRDefault="00B455B0" w:rsidP="00B455B0">
      <w:pPr>
        <w:pStyle w:val="NormalIndent"/>
        <w:ind w:left="567"/>
        <w:rPr>
          <w:rFonts w:asciiTheme="minorHAnsi" w:hAnsiTheme="minorHAnsi" w:cstheme="minorHAnsi"/>
          <w:sz w:val="22"/>
          <w:szCs w:val="22"/>
        </w:rPr>
      </w:pPr>
    </w:p>
    <w:p w14:paraId="31A68FD6" w14:textId="2DD3879E" w:rsidR="00DA680F" w:rsidRPr="00DA680F" w:rsidRDefault="00107845" w:rsidP="00DA680F">
      <w:pPr>
        <w:jc w:val="both"/>
      </w:pPr>
      <w:r>
        <w:t>Our major focus was providing support and guidance to partners to help them plan for safe return of sport and physical activity, in line with Scottish Government guidelines. We continued to provide support to</w:t>
      </w:r>
      <w:r w:rsidR="00DA680F">
        <w:t xml:space="preserve"> </w:t>
      </w:r>
      <w:r>
        <w:t>SGBs,</w:t>
      </w:r>
      <w:r w:rsidR="00DA680F">
        <w:t xml:space="preserve"> </w:t>
      </w:r>
      <w:r>
        <w:t xml:space="preserve">local partners, </w:t>
      </w:r>
      <w:r>
        <w:rPr>
          <w:rStyle w:val="normaltextrun"/>
          <w:rFonts w:cs="Arial"/>
          <w:color w:val="000000"/>
          <w:shd w:val="clear" w:color="auto" w:fill="FFFFFF"/>
        </w:rPr>
        <w:t>the higher and further education sector</w:t>
      </w:r>
      <w:r>
        <w:t xml:space="preserve"> and other sports organisations to develop their</w:t>
      </w:r>
      <w:r w:rsidR="00DA680F">
        <w:t xml:space="preserve"> </w:t>
      </w:r>
      <w:r>
        <w:t>guidance</w:t>
      </w:r>
      <w:r w:rsidR="00DA680F">
        <w:t xml:space="preserve"> </w:t>
      </w:r>
      <w:r>
        <w:t>as we moved through</w:t>
      </w:r>
      <w:r w:rsidR="00DA680F">
        <w:t xml:space="preserve"> </w:t>
      </w:r>
      <w:r>
        <w:t xml:space="preserve">the changes to restrictions and legislation relating to COVID-19. </w:t>
      </w:r>
    </w:p>
    <w:p w14:paraId="0E9EB48E" w14:textId="5EA96360" w:rsidR="00DA680F" w:rsidRPr="00DA680F" w:rsidRDefault="00107845" w:rsidP="00DA680F">
      <w:pPr>
        <w:jc w:val="both"/>
      </w:pPr>
      <w:r w:rsidRPr="3CC6FE7E">
        <w:rPr>
          <w:rFonts w:eastAsia="Arial" w:cs="Arial"/>
        </w:rPr>
        <w:t xml:space="preserve">We provided </w:t>
      </w:r>
      <w:r>
        <w:t xml:space="preserve">support to ensure all invested SGBs are now 100% compliant with the Safeguarding Standards and the Child Welfare and Protection in Sport (CWPS) club tool. We also established quarterly meetings to monitor SGB progress against the new UK Anti-Doping (UKAD) Assurance framework. </w:t>
      </w:r>
    </w:p>
    <w:p w14:paraId="784B2D89" w14:textId="682EE6FB" w:rsidR="00DA680F" w:rsidRDefault="00107845" w:rsidP="00DA680F">
      <w:pPr>
        <w:jc w:val="both"/>
      </w:pPr>
      <w:r>
        <w:t xml:space="preserve">We commissioned global EDI experts, Plan4Sport, to lead an independent review into racism in Scottish cricket. We supported Plan4Sport by coordinating strategic and operational communications activities. We made significant efforts to raise the profile of the review, build trust in the process and encourage engagement from across the Scottish cricketing community. This has included extensive </w:t>
      </w:r>
      <w:r>
        <w:lastRenderedPageBreak/>
        <w:t>engagement with key stakeholders including Cricket Scotland, Running Out Racism and the media. We also continued engagement across all digital and social media channels including making SportFirst content available in Urdu, Hindi and Gaelic. A final report with recommendations was published in July 2022.</w:t>
      </w:r>
    </w:p>
    <w:p w14:paraId="42EE324A" w14:textId="20AFACE2" w:rsidR="00DA680F" w:rsidRDefault="00107845" w:rsidP="00DA680F">
      <w:pPr>
        <w:jc w:val="both"/>
      </w:pPr>
      <w:r>
        <w:t xml:space="preserve">We continued to develop our nationwide Community Sports Hubs (CSHs). We updated our operational investment guidance for CSHs to encourage investment to support inclusion and held consultation sessions to support the facilitation of the revised approach across the network. We provided additional support to develop the CSH workforce. This included a new CSH officer toolkit and </w:t>
      </w:r>
      <w:r w:rsidDel="00B05625">
        <w:t>an</w:t>
      </w:r>
      <w:r>
        <w:t xml:space="preserve"> annual learning and development suite for hub officers</w:t>
      </w:r>
      <w:r w:rsidDel="00D74D2F">
        <w:t xml:space="preserve"> to</w:t>
      </w:r>
      <w:r>
        <w:t xml:space="preserve"> support them in their role</w:t>
      </w:r>
      <w:r w:rsidR="00DA680F">
        <w:t>.</w:t>
      </w:r>
    </w:p>
    <w:p w14:paraId="3C5655CE" w14:textId="0E882987" w:rsidR="00107845" w:rsidRDefault="00107845" w:rsidP="00DA680F">
      <w:pPr>
        <w:jc w:val="both"/>
        <w:rPr>
          <w:rFonts w:eastAsia="Arial" w:cs="Arial"/>
        </w:rPr>
      </w:pPr>
      <w:r w:rsidRPr="3CC6FE7E" w:rsidDel="00DC3BC3">
        <w:rPr>
          <w:rFonts w:eastAsia="Arial" w:cs="Arial"/>
        </w:rPr>
        <w:t xml:space="preserve">We approved investment </w:t>
      </w:r>
      <w:r w:rsidRPr="3CC6FE7E">
        <w:rPr>
          <w:rFonts w:eastAsia="Arial" w:cs="Arial"/>
        </w:rPr>
        <w:t>into 22 projects through the Sports Facilities Fund, tota</w:t>
      </w:r>
      <w:r>
        <w:rPr>
          <w:rFonts w:eastAsia="Arial" w:cs="Arial"/>
        </w:rPr>
        <w:t>l</w:t>
      </w:r>
      <w:r w:rsidRPr="3CC6FE7E">
        <w:rPr>
          <w:rFonts w:eastAsia="Arial" w:cs="Arial"/>
        </w:rPr>
        <w:t>ling £1,031,492. We</w:t>
      </w:r>
      <w:r w:rsidRPr="3CC6FE7E" w:rsidDel="00396865">
        <w:rPr>
          <w:rFonts w:eastAsia="Arial" w:cs="Arial"/>
        </w:rPr>
        <w:t xml:space="preserve"> </w:t>
      </w:r>
      <w:r w:rsidRPr="3CC6FE7E">
        <w:rPr>
          <w:rFonts w:eastAsia="Arial" w:cs="Arial"/>
        </w:rPr>
        <w:t>approved three awards through the Transforming Scottish Indoor Tennis Fund, tota</w:t>
      </w:r>
      <w:r>
        <w:rPr>
          <w:rFonts w:eastAsia="Arial" w:cs="Arial"/>
        </w:rPr>
        <w:t>l</w:t>
      </w:r>
      <w:r w:rsidRPr="3CC6FE7E">
        <w:rPr>
          <w:rFonts w:eastAsia="Arial" w:cs="Arial"/>
        </w:rPr>
        <w:t>ling £603,347. We</w:t>
      </w:r>
      <w:r w:rsidRPr="3CC6FE7E" w:rsidDel="00DC3BC3">
        <w:rPr>
          <w:rFonts w:eastAsia="Arial" w:cs="Arial"/>
        </w:rPr>
        <w:t xml:space="preserve"> </w:t>
      </w:r>
      <w:r w:rsidRPr="3CC6FE7E">
        <w:rPr>
          <w:rFonts w:eastAsia="Arial" w:cs="Arial"/>
        </w:rPr>
        <w:t>worked with Scottish Cycling on a strategic investment fund to deliver a network of cycling projects across Scotland, linked to the UCI 2023 Cycling World Championships. Through the Cycling Facilities Fund, we approved investment of £2,844,548, into 19 projects. We also approved investment of £504,869 into 118 projects through Awards for All.</w:t>
      </w:r>
    </w:p>
    <w:p w14:paraId="572682BF" w14:textId="06E0B320" w:rsidR="00107845" w:rsidRDefault="00107845" w:rsidP="00DA680F">
      <w:pPr>
        <w:jc w:val="both"/>
      </w:pPr>
      <w:r>
        <w:t>We progressed our Changing Lives action plan, ensuring it aligns with our new EDI approach. We continued to work</w:t>
      </w:r>
      <w:r w:rsidR="00DA680F">
        <w:t xml:space="preserve"> </w:t>
      </w:r>
      <w:r>
        <w:t>with</w:t>
      </w:r>
      <w:r w:rsidR="00DA680F">
        <w:t xml:space="preserve"> </w:t>
      </w:r>
      <w:r>
        <w:t xml:space="preserve">the Changemakers Partnership to deliver training to Changing Lives Champions and their managers which focused on setting outcomes, theories of change and sustainability. We </w:t>
      </w:r>
      <w:r w:rsidRPr="00721207">
        <w:t>initialised</w:t>
      </w:r>
      <w:r>
        <w:t xml:space="preserve"> and shared a Changing Lives Fund report, which highlights the impact and value of a Changing Lives approach for our communities. </w:t>
      </w:r>
    </w:p>
    <w:p w14:paraId="7B72BB17" w14:textId="5A2A6051" w:rsidR="00107845" w:rsidRDefault="00107845" w:rsidP="00DA680F">
      <w:pPr>
        <w:jc w:val="both"/>
      </w:pPr>
      <w:r>
        <w:t xml:space="preserve">We supported two workshops, facilitated by Public Health Scotland (PHS), around Active Travel and Active Places. An online survey was issued to all participants to validate the information captured during the workshops including proposed actions. We also worked with PHS to develop a data hub project and agreed to test the proof of concept within a Shaping Places for Wellbeing town (Clydebank). </w:t>
      </w:r>
    </w:p>
    <w:p w14:paraId="157A5810" w14:textId="03229B90" w:rsidR="00B455B0" w:rsidRDefault="00107845" w:rsidP="00107845">
      <w:pPr>
        <w:pStyle w:val="BodyText1"/>
        <w:jc w:val="both"/>
        <w:rPr>
          <w:rFonts w:asciiTheme="minorHAnsi" w:hAnsiTheme="minorHAnsi" w:cstheme="minorHAnsi"/>
          <w:bCs/>
          <w:szCs w:val="22"/>
        </w:rPr>
      </w:pPr>
      <w:r w:rsidRPr="00107845" w:rsidDel="00C3664D">
        <w:rPr>
          <w:rFonts w:asciiTheme="minorHAnsi" w:hAnsiTheme="minorHAnsi" w:cstheme="minorHAnsi"/>
        </w:rPr>
        <w:t xml:space="preserve">We </w:t>
      </w:r>
      <w:r w:rsidRPr="00107845">
        <w:rPr>
          <w:rFonts w:asciiTheme="minorHAnsi" w:hAnsiTheme="minorHAnsi" w:cstheme="minorHAnsi"/>
        </w:rPr>
        <w:t>refreshed our Coaching Scotland framework. This aims to guide the development of coaches and coaching in Scotland with a focus on developing a more diverse workforce that is representative of our Scottish population. We worked with Scottish Disability Sport to incorporate and promote the new Introduction to Inclusive Practice e-learning to Active Schools teams, club and community coaches and volunteers through our digital learning platform.</w:t>
      </w:r>
      <w:r w:rsidRPr="00107845">
        <w:rPr>
          <w:rFonts w:asciiTheme="minorHAnsi" w:hAnsiTheme="minorHAnsi" w:cstheme="minorHAnsi"/>
          <w:color w:val="000000"/>
          <w:szCs w:val="22"/>
          <w:shd w:val="clear" w:color="auto" w:fill="FFFFFF"/>
        </w:rPr>
        <w:t xml:space="preserve"> </w:t>
      </w:r>
      <w:r w:rsidRPr="00107845">
        <w:rPr>
          <w:rStyle w:val="normaltextrun"/>
          <w:rFonts w:asciiTheme="minorHAnsi" w:hAnsiTheme="minorHAnsi" w:cstheme="minorHAnsi"/>
          <w:color w:val="000000"/>
          <w:szCs w:val="22"/>
          <w:shd w:val="clear" w:color="auto" w:fill="FFFFFF"/>
        </w:rPr>
        <w:t>We also continued our investment and development of our online learning platform Brightspace, working with 18 SGBs to support their engagement in online education and learning.</w:t>
      </w:r>
    </w:p>
    <w:p w14:paraId="146F5AF7" w14:textId="77777777" w:rsidR="00107845" w:rsidRPr="00107845" w:rsidRDefault="00107845" w:rsidP="00107845">
      <w:pPr>
        <w:pStyle w:val="BodyText1"/>
        <w:jc w:val="both"/>
        <w:rPr>
          <w:rFonts w:asciiTheme="minorHAnsi" w:hAnsiTheme="minorHAnsi" w:cstheme="minorHAnsi"/>
          <w:bCs/>
          <w:szCs w:val="22"/>
        </w:rPr>
      </w:pPr>
    </w:p>
    <w:p w14:paraId="11912778" w14:textId="77777777" w:rsidR="00B455B0" w:rsidRPr="00B455B0" w:rsidRDefault="00B455B0" w:rsidP="00B455B0">
      <w:pPr>
        <w:pStyle w:val="Heading5"/>
        <w:ind w:left="567"/>
        <w:rPr>
          <w:rFonts w:asciiTheme="minorHAnsi" w:hAnsiTheme="minorHAnsi" w:cstheme="minorHAnsi"/>
          <w:i/>
          <w:iCs/>
          <w:sz w:val="22"/>
          <w:szCs w:val="22"/>
        </w:rPr>
      </w:pPr>
      <w:r w:rsidRPr="00B455B0">
        <w:rPr>
          <w:rFonts w:asciiTheme="minorHAnsi" w:hAnsiTheme="minorHAnsi" w:cstheme="minorHAnsi"/>
          <w:i/>
          <w:iCs/>
          <w:sz w:val="22"/>
          <w:szCs w:val="22"/>
        </w:rPr>
        <w:t>Schools and education</w:t>
      </w:r>
    </w:p>
    <w:p w14:paraId="08A3EF47" w14:textId="77777777" w:rsidR="00B455B0" w:rsidRPr="00B455B0" w:rsidRDefault="00B455B0" w:rsidP="00B455B0">
      <w:pPr>
        <w:pStyle w:val="NormalIndent"/>
        <w:ind w:left="567"/>
        <w:rPr>
          <w:rFonts w:asciiTheme="minorHAnsi" w:hAnsiTheme="minorHAnsi" w:cstheme="minorHAnsi"/>
          <w:sz w:val="22"/>
          <w:szCs w:val="22"/>
        </w:rPr>
      </w:pPr>
    </w:p>
    <w:p w14:paraId="53B40297" w14:textId="33106934" w:rsidR="00981C57" w:rsidRDefault="00981C57" w:rsidP="00981C57">
      <w:pPr>
        <w:jc w:val="both"/>
      </w:pPr>
      <w:r>
        <w:t xml:space="preserve">We continued to support local authorities to deliver the agreed actions within our partnership agreements, ensuring a flexible approach in light of the impact of COVID-19 on local priorities. We maintained regular dialogue and communication with senior leaders to understand the impact of the pandemic on sport across local authorities, and to support strategic planning for sport and key </w:t>
      </w:r>
      <w:r>
        <w:lastRenderedPageBreak/>
        <w:t>programmes as we return to sport. We also engaged directly with Active Schools and Sports Development Managers from all 32 local authorities to understand operational challenges and support their focus on building Active Schools activity back following COVID-19 disruption.</w:t>
      </w:r>
    </w:p>
    <w:p w14:paraId="7983B499" w14:textId="17A0BAD2" w:rsidR="00981C57" w:rsidRDefault="00981C57" w:rsidP="00981C57">
      <w:pPr>
        <w:jc w:val="both"/>
      </w:pPr>
      <w:r>
        <w:t>We co</w:t>
      </w:r>
      <w:r w:rsidRPr="3CC6FE7E">
        <w:t xml:space="preserve">ntinued to develop the Active Schools workforce. We supported over 120 Active Schools coordinators, from 26 local authorities, to successfully gain a Professional Development Award in Sport Educator Training and to upskill to offer tutor coaching children workshops locally, both online and in person. We delivered bespoke training to help improve online facilitation skills for Active Schools coordinators. We also developed our partnership with the Chartered Institute for the Management of Sport and Physical Activity (CIMSPA), scoping out professional standards for Active Schools staff with a view to helping identify further learning and development needs. </w:t>
      </w:r>
    </w:p>
    <w:p w14:paraId="4CB45142" w14:textId="0C2BD658" w:rsidR="00981C57" w:rsidRDefault="00981C57" w:rsidP="00981C57">
      <w:pPr>
        <w:jc w:val="both"/>
      </w:pPr>
      <w:r>
        <w:t xml:space="preserve">We supported the Scottish Women and Girls in Sport Week and delivered Active Girls Day. </w:t>
      </w:r>
      <w:r w:rsidRPr="3CC6FE7E">
        <w:t xml:space="preserve">We provided all local partners with Active Girls consultation packs and information on how to use these tools locally. </w:t>
      </w:r>
      <w:r>
        <w:t>These campaigns provide an opportunity to profile girls and young women being active and engaging positively in sport and physical activity. Both events generated excellent engagement across the network.</w:t>
      </w:r>
    </w:p>
    <w:p w14:paraId="3C9E3E99" w14:textId="7D453035" w:rsidR="00981C57" w:rsidRDefault="00981C57" w:rsidP="00981C57">
      <w:pPr>
        <w:jc w:val="both"/>
      </w:pPr>
      <w:r w:rsidRPr="3CC6FE7E">
        <w:t xml:space="preserve">We progressed work with our Fit For Girls (FFG) programme which </w:t>
      </w:r>
      <w:r w:rsidRPr="3CC6FE7E">
        <w:rPr>
          <w:rFonts w:cs="Arial"/>
          <w:shd w:val="clear" w:color="auto" w:fill="FFFFFF"/>
        </w:rPr>
        <w:t>aims to bring about sustainable change in schools and build a positive future for girls’ participation in lifelong physical activity. We engaged</w:t>
      </w:r>
      <w:r w:rsidRPr="3CC6FE7E">
        <w:t xml:space="preserve"> with the local authorities from the 2021 </w:t>
      </w:r>
      <w:r>
        <w:t>FFG</w:t>
      </w:r>
      <w:r w:rsidRPr="3CC6FE7E">
        <w:t xml:space="preserve"> delivery, to assess local impact and plan for the next sessions. We delivered FFG workshops in three local authorities and transitioned the FFG</w:t>
      </w:r>
      <w:r>
        <w:t xml:space="preserve"> </w:t>
      </w:r>
      <w:r w:rsidRPr="3CC6FE7E">
        <w:t>consultation</w:t>
      </w:r>
      <w:r>
        <w:t xml:space="preserve"> </w:t>
      </w:r>
      <w:r w:rsidRPr="3CC6FE7E">
        <w:t xml:space="preserve">module to an online offer. This received positive feedback from partners and the young people directly and resulted in participants taking action to deliver locally. </w:t>
      </w:r>
    </w:p>
    <w:p w14:paraId="1DD44375" w14:textId="41802FD3" w:rsidR="00981C57" w:rsidRDefault="00981C57" w:rsidP="00981C57">
      <w:pPr>
        <w:jc w:val="both"/>
      </w:pPr>
      <w:r>
        <w:t>We launched the Young Ambassador programme for the 2021-22 academic year. 270 schools across Scotland signed up for the programme</w:t>
      </w:r>
      <w:r w:rsidRPr="005E2D1D">
        <w:t xml:space="preserve"> </w:t>
      </w:r>
      <w:r>
        <w:t xml:space="preserve">which aims to equip young people with the skills to </w:t>
      </w:r>
      <w:r w:rsidRPr="00FD45C7">
        <w:t>promot</w:t>
      </w:r>
      <w:r>
        <w:t>e</w:t>
      </w:r>
      <w:r w:rsidRPr="00FD45C7">
        <w:t xml:space="preserve"> and inspi</w:t>
      </w:r>
      <w:r>
        <w:t>re</w:t>
      </w:r>
      <w:r w:rsidRPr="00FD45C7">
        <w:t xml:space="preserve"> other young people to get involved in sport within their schools and communities</w:t>
      </w:r>
      <w:r>
        <w:t>. This represents 64%</w:t>
      </w:r>
      <w:r w:rsidR="001B6318">
        <w:t xml:space="preserve"> </w:t>
      </w:r>
      <w:r>
        <w:t>of secondary schools in Scotland, up from 42% in 2020-21, resulting in 482 Young Ambassadors. We codeveloped webinars and social media resources to enable young people to attend and learn online.</w:t>
      </w:r>
    </w:p>
    <w:p w14:paraId="16B2CBF5" w14:textId="0CB56033" w:rsidR="000E5A87" w:rsidRDefault="00981C57" w:rsidP="00981C57">
      <w:pPr>
        <w:jc w:val="both"/>
      </w:pPr>
      <w:r>
        <w:t>Throughout the last year we worked closely with local authorities, leisure trusts, SGBs and other strategic partners, including COSLA, Public Health Scotland, VOCAL, Community Leisure UK (CLUK) Scotland, Society of Local Authority Chief Executives and Senior Managers Scotland (SOLACE) and higher and further education partners, to gather information on the impact of and recovery from COVID-19 across the sport and leisure sector. We also continued to work with partners through the strategic forum for sport and physical activity to progress the</w:t>
      </w:r>
      <w:r w:rsidDel="00F03C5E">
        <w:t xml:space="preserve"> </w:t>
      </w:r>
      <w:r>
        <w:t>long-term recovery action plan and consistent messaging for the sector as we emerge from COVID-19.</w:t>
      </w:r>
    </w:p>
    <w:p w14:paraId="1E7D03BE" w14:textId="77777777" w:rsidR="006A6997" w:rsidRDefault="006A6997" w:rsidP="006A6997">
      <w:pPr>
        <w:pStyle w:val="n"/>
        <w:tabs>
          <w:tab w:val="clear" w:pos="794"/>
        </w:tabs>
        <w:ind w:left="1080" w:firstLine="0"/>
        <w:rPr>
          <w:rFonts w:asciiTheme="minorHAnsi" w:hAnsiTheme="minorHAnsi"/>
          <w:sz w:val="22"/>
          <w:szCs w:val="22"/>
        </w:rPr>
      </w:pPr>
    </w:p>
    <w:p w14:paraId="1C1D3955" w14:textId="77777777" w:rsidR="00C90E42" w:rsidRDefault="00C90E42">
      <w:pPr>
        <w:rPr>
          <w:rFonts w:eastAsia="Times New Roman" w:cs="Times New Roman"/>
          <w:b/>
        </w:rPr>
      </w:pPr>
      <w:r>
        <w:rPr>
          <w:b/>
        </w:rPr>
        <w:br w:type="page"/>
      </w:r>
    </w:p>
    <w:p w14:paraId="63252C23" w14:textId="608ABAFA" w:rsidR="00B455B0" w:rsidRPr="00B455B0" w:rsidRDefault="00C6495A" w:rsidP="00B455B0">
      <w:pPr>
        <w:pStyle w:val="n"/>
        <w:numPr>
          <w:ilvl w:val="0"/>
          <w:numId w:val="1"/>
        </w:numPr>
        <w:rPr>
          <w:rFonts w:asciiTheme="minorHAnsi" w:hAnsiTheme="minorHAnsi"/>
          <w:b/>
          <w:sz w:val="22"/>
          <w:szCs w:val="22"/>
        </w:rPr>
      </w:pPr>
      <w:r w:rsidRPr="00C6495A">
        <w:rPr>
          <w:rFonts w:asciiTheme="minorHAnsi" w:hAnsiTheme="minorHAnsi"/>
          <w:b/>
          <w:sz w:val="22"/>
          <w:szCs w:val="22"/>
        </w:rPr>
        <w:lastRenderedPageBreak/>
        <w:t>Efficiency Statement</w:t>
      </w:r>
    </w:p>
    <w:p w14:paraId="7FCD7CCE" w14:textId="44D63521" w:rsidR="00C6495A" w:rsidRDefault="00C6495A" w:rsidP="00C6495A">
      <w:pPr>
        <w:pStyle w:val="n"/>
        <w:numPr>
          <w:ilvl w:val="1"/>
          <w:numId w:val="1"/>
        </w:numPr>
        <w:rPr>
          <w:rFonts w:asciiTheme="minorHAnsi" w:hAnsiTheme="minorHAnsi"/>
          <w:sz w:val="22"/>
          <w:szCs w:val="22"/>
        </w:rPr>
      </w:pPr>
      <w:r w:rsidRPr="006A6997">
        <w:rPr>
          <w:rFonts w:asciiTheme="minorHAnsi" w:hAnsiTheme="minorHAnsi"/>
          <w:b/>
          <w:sz w:val="22"/>
          <w:szCs w:val="22"/>
        </w:rPr>
        <w:t>sport</w:t>
      </w:r>
      <w:r>
        <w:rPr>
          <w:rFonts w:asciiTheme="minorHAnsi" w:hAnsiTheme="minorHAnsi"/>
          <w:sz w:val="22"/>
          <w:szCs w:val="22"/>
        </w:rPr>
        <w:t>scotland continues to be focused on efficiency savings</w:t>
      </w:r>
      <w:r w:rsidR="00650441">
        <w:rPr>
          <w:rFonts w:asciiTheme="minorHAnsi" w:hAnsiTheme="minorHAnsi"/>
          <w:sz w:val="22"/>
          <w:szCs w:val="22"/>
        </w:rPr>
        <w:t>, especially through effective use of procurement, both in terms of running competitive procurement tender processes and us</w:t>
      </w:r>
      <w:r w:rsidR="00AB77BF">
        <w:rPr>
          <w:rFonts w:asciiTheme="minorHAnsi" w:hAnsiTheme="minorHAnsi"/>
          <w:sz w:val="22"/>
          <w:szCs w:val="22"/>
        </w:rPr>
        <w:t>ing</w:t>
      </w:r>
      <w:r w:rsidR="00650441">
        <w:rPr>
          <w:rFonts w:asciiTheme="minorHAnsi" w:hAnsiTheme="minorHAnsi"/>
          <w:sz w:val="22"/>
          <w:szCs w:val="22"/>
        </w:rPr>
        <w:t xml:space="preserve"> centrally negotiated Government frameworks, and through efficient operation of our estate</w:t>
      </w:r>
      <w:r>
        <w:rPr>
          <w:rFonts w:asciiTheme="minorHAnsi" w:hAnsiTheme="minorHAnsi"/>
          <w:sz w:val="22"/>
          <w:szCs w:val="22"/>
        </w:rPr>
        <w:t>.</w:t>
      </w:r>
    </w:p>
    <w:p w14:paraId="2BA50B7F" w14:textId="0357691B" w:rsidR="00C6495A" w:rsidRDefault="00C6495A" w:rsidP="00C6495A">
      <w:pPr>
        <w:pStyle w:val="n"/>
        <w:numPr>
          <w:ilvl w:val="1"/>
          <w:numId w:val="1"/>
        </w:numPr>
        <w:rPr>
          <w:rFonts w:asciiTheme="minorHAnsi" w:hAnsiTheme="minorHAnsi"/>
          <w:sz w:val="22"/>
          <w:szCs w:val="22"/>
        </w:rPr>
      </w:pPr>
      <w:r>
        <w:rPr>
          <w:rFonts w:asciiTheme="minorHAnsi" w:hAnsiTheme="minorHAnsi"/>
          <w:sz w:val="22"/>
          <w:szCs w:val="22"/>
        </w:rPr>
        <w:t>Key areas of focus for savings in the year ended 31 March 20</w:t>
      </w:r>
      <w:r w:rsidR="00C03207">
        <w:rPr>
          <w:rFonts w:asciiTheme="minorHAnsi" w:hAnsiTheme="minorHAnsi"/>
          <w:sz w:val="22"/>
          <w:szCs w:val="22"/>
        </w:rPr>
        <w:t>2</w:t>
      </w:r>
      <w:r w:rsidR="00852B6B">
        <w:rPr>
          <w:rFonts w:asciiTheme="minorHAnsi" w:hAnsiTheme="minorHAnsi"/>
          <w:sz w:val="22"/>
          <w:szCs w:val="22"/>
        </w:rPr>
        <w:t>2</w:t>
      </w:r>
      <w:r>
        <w:rPr>
          <w:rFonts w:asciiTheme="minorHAnsi" w:hAnsiTheme="minorHAnsi"/>
          <w:sz w:val="22"/>
          <w:szCs w:val="22"/>
        </w:rPr>
        <w:t xml:space="preserve"> included:</w:t>
      </w:r>
    </w:p>
    <w:p w14:paraId="0ED3518B" w14:textId="57D58D7A" w:rsidR="006A6997" w:rsidRPr="00AC256A" w:rsidRDefault="00C6495A" w:rsidP="00C6495A">
      <w:pPr>
        <w:pStyle w:val="n"/>
        <w:numPr>
          <w:ilvl w:val="0"/>
          <w:numId w:val="4"/>
        </w:numPr>
        <w:rPr>
          <w:rFonts w:asciiTheme="minorHAnsi" w:hAnsiTheme="minorHAnsi" w:cstheme="minorHAnsi"/>
          <w:sz w:val="22"/>
          <w:szCs w:val="22"/>
        </w:rPr>
      </w:pPr>
      <w:r w:rsidRPr="00AC256A">
        <w:rPr>
          <w:rFonts w:asciiTheme="minorHAnsi" w:hAnsiTheme="minorHAnsi" w:cstheme="minorHAnsi"/>
          <w:sz w:val="22"/>
          <w:szCs w:val="22"/>
        </w:rPr>
        <w:t>Procurement – we continue</w:t>
      </w:r>
      <w:r w:rsidR="00AB77BF" w:rsidRPr="00AC256A">
        <w:rPr>
          <w:rFonts w:asciiTheme="minorHAnsi" w:hAnsiTheme="minorHAnsi" w:cstheme="minorHAnsi"/>
          <w:sz w:val="22"/>
          <w:szCs w:val="22"/>
        </w:rPr>
        <w:t>d</w:t>
      </w:r>
      <w:r w:rsidRPr="00AC256A">
        <w:rPr>
          <w:rFonts w:asciiTheme="minorHAnsi" w:hAnsiTheme="minorHAnsi" w:cstheme="minorHAnsi"/>
          <w:sz w:val="22"/>
          <w:szCs w:val="22"/>
        </w:rPr>
        <w:t xml:space="preserve"> to work to identify opportunities to get best value from tendering for the supply of goods and services</w:t>
      </w:r>
      <w:r w:rsidR="00473812" w:rsidRPr="00AC256A">
        <w:rPr>
          <w:rFonts w:asciiTheme="minorHAnsi" w:hAnsiTheme="minorHAnsi" w:cstheme="minorHAnsi"/>
          <w:sz w:val="22"/>
          <w:szCs w:val="22"/>
        </w:rPr>
        <w:t xml:space="preserve"> and through good contract management</w:t>
      </w:r>
      <w:r w:rsidRPr="00AC256A">
        <w:rPr>
          <w:rFonts w:asciiTheme="minorHAnsi" w:hAnsiTheme="minorHAnsi" w:cstheme="minorHAnsi"/>
          <w:sz w:val="22"/>
          <w:szCs w:val="22"/>
        </w:rPr>
        <w:t xml:space="preserve">.  </w:t>
      </w:r>
    </w:p>
    <w:p w14:paraId="4A3F0B3C" w14:textId="09C1C74F" w:rsidR="00AC256A" w:rsidRPr="00AC256A" w:rsidRDefault="00AC256A" w:rsidP="00AC256A">
      <w:pPr>
        <w:pStyle w:val="n"/>
        <w:numPr>
          <w:ilvl w:val="1"/>
          <w:numId w:val="4"/>
        </w:numPr>
        <w:rPr>
          <w:rFonts w:asciiTheme="minorHAnsi" w:hAnsiTheme="minorHAnsi" w:cstheme="minorHAnsi"/>
          <w:sz w:val="22"/>
          <w:szCs w:val="22"/>
        </w:rPr>
      </w:pPr>
      <w:r w:rsidRPr="00AC256A">
        <w:rPr>
          <w:rFonts w:asciiTheme="minorHAnsi" w:hAnsiTheme="minorHAnsi" w:cstheme="minorHAnsi"/>
          <w:sz w:val="22"/>
          <w:szCs w:val="22"/>
          <w:shd w:val="clear" w:color="auto" w:fill="FAF9F8"/>
        </w:rPr>
        <w:t>Where a requirement can be met and value for money achieved through the use of an existing contract put in place b</w:t>
      </w:r>
      <w:r w:rsidR="009235D7">
        <w:rPr>
          <w:rFonts w:asciiTheme="minorHAnsi" w:hAnsiTheme="minorHAnsi" w:cstheme="minorHAnsi"/>
          <w:sz w:val="22"/>
          <w:szCs w:val="22"/>
          <w:shd w:val="clear" w:color="auto" w:fill="FAF9F8"/>
        </w:rPr>
        <w:t>y</w:t>
      </w:r>
      <w:r w:rsidRPr="00AC256A">
        <w:rPr>
          <w:rFonts w:asciiTheme="minorHAnsi" w:hAnsiTheme="minorHAnsi" w:cstheme="minorHAnsi"/>
          <w:sz w:val="22"/>
          <w:szCs w:val="22"/>
          <w:shd w:val="clear" w:color="auto" w:fill="FAF9F8"/>
        </w:rPr>
        <w:t xml:space="preserve"> the Scottish Procurement and Commercial Directorate or another collaborative procurement agency such as Crown Commercial Service,</w:t>
      </w:r>
      <w:r w:rsidR="0081327D">
        <w:rPr>
          <w:rFonts w:asciiTheme="minorHAnsi" w:hAnsiTheme="minorHAnsi" w:cstheme="minorHAnsi"/>
          <w:sz w:val="22"/>
          <w:szCs w:val="22"/>
          <w:shd w:val="clear" w:color="auto" w:fill="FAF9F8"/>
        </w:rPr>
        <w:t xml:space="preserve"> </w:t>
      </w:r>
      <w:r w:rsidRPr="009235D7">
        <w:rPr>
          <w:rFonts w:asciiTheme="minorHAnsi" w:hAnsiTheme="minorHAnsi" w:cstheme="minorHAnsi"/>
          <w:b/>
          <w:bCs/>
          <w:sz w:val="22"/>
          <w:szCs w:val="22"/>
          <w:shd w:val="clear" w:color="auto" w:fill="FAF9F8"/>
        </w:rPr>
        <w:t>sport</w:t>
      </w:r>
      <w:r w:rsidRPr="00AC256A">
        <w:rPr>
          <w:rFonts w:asciiTheme="minorHAnsi" w:hAnsiTheme="minorHAnsi" w:cstheme="minorHAnsi"/>
          <w:sz w:val="22"/>
          <w:szCs w:val="22"/>
          <w:shd w:val="clear" w:color="auto" w:fill="FAF9F8"/>
        </w:rPr>
        <w:t>scotland’s policy is to utilise these contracts.</w:t>
      </w:r>
    </w:p>
    <w:p w14:paraId="5B1A08DC" w14:textId="74B280B2" w:rsidR="00AC256A" w:rsidRPr="00AC256A" w:rsidRDefault="00AC256A" w:rsidP="00AC256A">
      <w:pPr>
        <w:pStyle w:val="n"/>
        <w:numPr>
          <w:ilvl w:val="1"/>
          <w:numId w:val="4"/>
        </w:numPr>
        <w:rPr>
          <w:rFonts w:asciiTheme="minorHAnsi" w:hAnsiTheme="minorHAnsi" w:cstheme="minorHAnsi"/>
          <w:sz w:val="22"/>
          <w:szCs w:val="22"/>
        </w:rPr>
      </w:pPr>
      <w:r w:rsidRPr="00AC256A">
        <w:rPr>
          <w:rFonts w:asciiTheme="minorHAnsi" w:hAnsiTheme="minorHAnsi" w:cstheme="minorHAnsi"/>
          <w:sz w:val="22"/>
          <w:szCs w:val="22"/>
          <w:shd w:val="clear" w:color="auto" w:fill="FAF9F8"/>
        </w:rPr>
        <w:t xml:space="preserve">During the period, </w:t>
      </w:r>
      <w:r w:rsidRPr="00395790">
        <w:rPr>
          <w:rFonts w:asciiTheme="minorHAnsi" w:hAnsiTheme="minorHAnsi" w:cstheme="minorHAnsi"/>
          <w:b/>
          <w:bCs/>
          <w:sz w:val="22"/>
          <w:szCs w:val="22"/>
          <w:shd w:val="clear" w:color="auto" w:fill="FAF9F8"/>
        </w:rPr>
        <w:t>sport</w:t>
      </w:r>
      <w:r w:rsidRPr="00AC256A">
        <w:rPr>
          <w:rFonts w:asciiTheme="minorHAnsi" w:hAnsiTheme="minorHAnsi" w:cstheme="minorHAnsi"/>
          <w:sz w:val="22"/>
          <w:szCs w:val="22"/>
          <w:shd w:val="clear" w:color="auto" w:fill="FAF9F8"/>
        </w:rPr>
        <w:t>scotland spent £</w:t>
      </w:r>
      <w:r w:rsidR="0094564C">
        <w:rPr>
          <w:rFonts w:asciiTheme="minorHAnsi" w:hAnsiTheme="minorHAnsi" w:cstheme="minorHAnsi"/>
          <w:sz w:val="22"/>
          <w:szCs w:val="22"/>
          <w:shd w:val="clear" w:color="auto" w:fill="FAF9F8"/>
        </w:rPr>
        <w:t>455</w:t>
      </w:r>
      <w:r w:rsidR="00395790">
        <w:rPr>
          <w:rFonts w:asciiTheme="minorHAnsi" w:hAnsiTheme="minorHAnsi" w:cstheme="minorHAnsi"/>
          <w:sz w:val="22"/>
          <w:szCs w:val="22"/>
          <w:shd w:val="clear" w:color="auto" w:fill="FAF9F8"/>
        </w:rPr>
        <w:t>,769</w:t>
      </w:r>
      <w:r w:rsidRPr="00AC256A">
        <w:rPr>
          <w:rFonts w:asciiTheme="minorHAnsi" w:hAnsiTheme="minorHAnsi" w:cstheme="minorHAnsi"/>
          <w:sz w:val="22"/>
          <w:szCs w:val="22"/>
          <w:shd w:val="clear" w:color="auto" w:fill="FAF9F8"/>
        </w:rPr>
        <w:t xml:space="preserve"> through f</w:t>
      </w:r>
      <w:r w:rsidR="00395790">
        <w:rPr>
          <w:rFonts w:asciiTheme="minorHAnsi" w:hAnsiTheme="minorHAnsi" w:cstheme="minorHAnsi"/>
          <w:sz w:val="22"/>
          <w:szCs w:val="22"/>
          <w:shd w:val="clear" w:color="auto" w:fill="FAF9F8"/>
        </w:rPr>
        <w:t>if</w:t>
      </w:r>
      <w:r w:rsidRPr="00AC256A">
        <w:rPr>
          <w:rFonts w:asciiTheme="minorHAnsi" w:hAnsiTheme="minorHAnsi" w:cstheme="minorHAnsi"/>
          <w:sz w:val="22"/>
          <w:szCs w:val="22"/>
          <w:shd w:val="clear" w:color="auto" w:fill="FAF9F8"/>
        </w:rPr>
        <w:t>teen Scottish Government Frameworks, resulting in savings of £</w:t>
      </w:r>
      <w:r w:rsidR="00395790">
        <w:rPr>
          <w:rFonts w:asciiTheme="minorHAnsi" w:hAnsiTheme="minorHAnsi" w:cstheme="minorHAnsi"/>
          <w:sz w:val="22"/>
          <w:szCs w:val="22"/>
          <w:shd w:val="clear" w:color="auto" w:fill="FAF9F8"/>
        </w:rPr>
        <w:t>77,705</w:t>
      </w:r>
      <w:r w:rsidRPr="00AC256A">
        <w:rPr>
          <w:rFonts w:asciiTheme="minorHAnsi" w:hAnsiTheme="minorHAnsi" w:cstheme="minorHAnsi"/>
          <w:sz w:val="22"/>
          <w:szCs w:val="22"/>
          <w:shd w:val="clear" w:color="auto" w:fill="FAF9F8"/>
        </w:rPr>
        <w:t xml:space="preserve">. </w:t>
      </w:r>
    </w:p>
    <w:p w14:paraId="02FBB3AD" w14:textId="1D35C084" w:rsidR="00AC256A" w:rsidRPr="00AC256A" w:rsidRDefault="00AC256A" w:rsidP="00AC256A">
      <w:pPr>
        <w:pStyle w:val="n"/>
        <w:numPr>
          <w:ilvl w:val="1"/>
          <w:numId w:val="4"/>
        </w:numPr>
        <w:rPr>
          <w:rFonts w:asciiTheme="minorHAnsi" w:hAnsiTheme="minorHAnsi" w:cstheme="minorHAnsi"/>
          <w:sz w:val="22"/>
          <w:szCs w:val="22"/>
        </w:rPr>
      </w:pPr>
      <w:r w:rsidRPr="009235D7">
        <w:rPr>
          <w:rFonts w:asciiTheme="minorHAnsi" w:hAnsiTheme="minorHAnsi" w:cstheme="minorHAnsi"/>
          <w:b/>
          <w:bCs/>
          <w:sz w:val="22"/>
          <w:szCs w:val="22"/>
          <w:shd w:val="clear" w:color="auto" w:fill="FAF9F8"/>
        </w:rPr>
        <w:t>sport</w:t>
      </w:r>
      <w:r w:rsidRPr="00AC256A">
        <w:rPr>
          <w:rFonts w:asciiTheme="minorHAnsi" w:hAnsiTheme="minorHAnsi" w:cstheme="minorHAnsi"/>
          <w:sz w:val="22"/>
          <w:szCs w:val="22"/>
          <w:shd w:val="clear" w:color="auto" w:fill="FAF9F8"/>
        </w:rPr>
        <w:t>scotland also had spend of £</w:t>
      </w:r>
      <w:r w:rsidR="00AA25B6">
        <w:rPr>
          <w:rFonts w:asciiTheme="minorHAnsi" w:hAnsiTheme="minorHAnsi" w:cstheme="minorHAnsi"/>
          <w:sz w:val="22"/>
          <w:szCs w:val="22"/>
          <w:shd w:val="clear" w:color="auto" w:fill="FAF9F8"/>
        </w:rPr>
        <w:t>955,213</w:t>
      </w:r>
      <w:r w:rsidRPr="00AC256A">
        <w:rPr>
          <w:rFonts w:asciiTheme="minorHAnsi" w:hAnsiTheme="minorHAnsi" w:cstheme="minorHAnsi"/>
          <w:sz w:val="22"/>
          <w:szCs w:val="22"/>
          <w:shd w:val="clear" w:color="auto" w:fill="FAF9F8"/>
        </w:rPr>
        <w:t xml:space="preserve"> with Crown Commercial Service Frameworks.  Where available savings realised through these frameworks are included in </w:t>
      </w:r>
      <w:r w:rsidRPr="00AA25B6">
        <w:rPr>
          <w:rFonts w:asciiTheme="minorHAnsi" w:hAnsiTheme="minorHAnsi" w:cstheme="minorHAnsi"/>
          <w:b/>
          <w:bCs/>
          <w:sz w:val="22"/>
          <w:szCs w:val="22"/>
          <w:shd w:val="clear" w:color="auto" w:fill="FAF9F8"/>
        </w:rPr>
        <w:t>sport</w:t>
      </w:r>
      <w:r w:rsidRPr="00AC256A">
        <w:rPr>
          <w:rFonts w:asciiTheme="minorHAnsi" w:hAnsiTheme="minorHAnsi" w:cstheme="minorHAnsi"/>
          <w:sz w:val="22"/>
          <w:szCs w:val="22"/>
          <w:shd w:val="clear" w:color="auto" w:fill="FAF9F8"/>
        </w:rPr>
        <w:t>scotland savings figures.</w:t>
      </w:r>
    </w:p>
    <w:p w14:paraId="4DF8B4FB" w14:textId="37278AF2" w:rsidR="00AC256A" w:rsidRPr="00AC256A" w:rsidRDefault="00AC256A" w:rsidP="00AC256A">
      <w:pPr>
        <w:pStyle w:val="n"/>
        <w:numPr>
          <w:ilvl w:val="1"/>
          <w:numId w:val="4"/>
        </w:numPr>
        <w:rPr>
          <w:rFonts w:asciiTheme="minorHAnsi" w:hAnsiTheme="minorHAnsi" w:cstheme="minorHAnsi"/>
          <w:sz w:val="22"/>
          <w:szCs w:val="22"/>
        </w:rPr>
      </w:pPr>
      <w:r w:rsidRPr="00AC256A">
        <w:rPr>
          <w:rFonts w:asciiTheme="minorHAnsi" w:hAnsiTheme="minorHAnsi" w:cstheme="minorHAnsi"/>
          <w:sz w:val="22"/>
          <w:szCs w:val="22"/>
          <w:shd w:val="clear" w:color="auto" w:fill="FAF9F8"/>
        </w:rPr>
        <w:t>In addition, savings of £</w:t>
      </w:r>
      <w:r w:rsidR="00AA25B6">
        <w:rPr>
          <w:rFonts w:asciiTheme="minorHAnsi" w:hAnsiTheme="minorHAnsi" w:cstheme="minorHAnsi"/>
          <w:sz w:val="22"/>
          <w:szCs w:val="22"/>
          <w:shd w:val="clear" w:color="auto" w:fill="FAF9F8"/>
        </w:rPr>
        <w:t>570,570</w:t>
      </w:r>
      <w:r w:rsidRPr="00AC256A">
        <w:rPr>
          <w:rFonts w:asciiTheme="minorHAnsi" w:hAnsiTheme="minorHAnsi" w:cstheme="minorHAnsi"/>
          <w:sz w:val="22"/>
          <w:szCs w:val="22"/>
          <w:shd w:val="clear" w:color="auto" w:fill="FAF9F8"/>
        </w:rPr>
        <w:t xml:space="preserve"> were realised through locally procured category C contracts</w:t>
      </w:r>
    </w:p>
    <w:p w14:paraId="16614CFA" w14:textId="69326926" w:rsidR="006A6997" w:rsidRDefault="006A6997" w:rsidP="00C6495A">
      <w:pPr>
        <w:pStyle w:val="n"/>
        <w:numPr>
          <w:ilvl w:val="0"/>
          <w:numId w:val="4"/>
        </w:numPr>
        <w:rPr>
          <w:rFonts w:asciiTheme="minorHAnsi" w:hAnsiTheme="minorHAnsi"/>
          <w:sz w:val="22"/>
          <w:szCs w:val="22"/>
        </w:rPr>
      </w:pPr>
      <w:r>
        <w:rPr>
          <w:rFonts w:asciiTheme="minorHAnsi" w:hAnsiTheme="minorHAnsi"/>
          <w:sz w:val="22"/>
          <w:szCs w:val="22"/>
        </w:rPr>
        <w:t xml:space="preserve">Estate – we regularly review </w:t>
      </w:r>
      <w:r w:rsidR="00650441">
        <w:rPr>
          <w:rFonts w:asciiTheme="minorHAnsi" w:hAnsiTheme="minorHAnsi"/>
          <w:sz w:val="22"/>
          <w:szCs w:val="22"/>
        </w:rPr>
        <w:t>the</w:t>
      </w:r>
      <w:r>
        <w:rPr>
          <w:rFonts w:asciiTheme="minorHAnsi" w:hAnsiTheme="minorHAnsi"/>
          <w:sz w:val="22"/>
          <w:szCs w:val="22"/>
        </w:rPr>
        <w:t xml:space="preserve"> requirement</w:t>
      </w:r>
      <w:r w:rsidR="00650441">
        <w:rPr>
          <w:rFonts w:asciiTheme="minorHAnsi" w:hAnsiTheme="minorHAnsi"/>
          <w:sz w:val="22"/>
          <w:szCs w:val="22"/>
        </w:rPr>
        <w:t>s of our estate</w:t>
      </w:r>
      <w:r>
        <w:rPr>
          <w:rFonts w:asciiTheme="minorHAnsi" w:hAnsiTheme="minorHAnsi"/>
          <w:sz w:val="22"/>
          <w:szCs w:val="22"/>
        </w:rPr>
        <w:t xml:space="preserve"> to minimise costs and maximise revenue where possible, including:</w:t>
      </w:r>
    </w:p>
    <w:p w14:paraId="1F682D3E" w14:textId="3285F036" w:rsidR="006A6997" w:rsidRPr="002B5C5A" w:rsidRDefault="009D4287" w:rsidP="006A6997">
      <w:pPr>
        <w:pStyle w:val="n"/>
        <w:numPr>
          <w:ilvl w:val="1"/>
          <w:numId w:val="4"/>
        </w:numPr>
        <w:rPr>
          <w:rFonts w:asciiTheme="minorHAnsi" w:hAnsiTheme="minorHAnsi"/>
          <w:sz w:val="22"/>
          <w:szCs w:val="22"/>
        </w:rPr>
      </w:pPr>
      <w:r w:rsidRPr="002B5C5A">
        <w:rPr>
          <w:rFonts w:asciiTheme="minorHAnsi" w:hAnsiTheme="minorHAnsi"/>
          <w:sz w:val="22"/>
          <w:szCs w:val="22"/>
        </w:rPr>
        <w:t>Active maintenance of our t</w:t>
      </w:r>
      <w:r w:rsidR="00AC256A">
        <w:rPr>
          <w:rFonts w:asciiTheme="minorHAnsi" w:hAnsiTheme="minorHAnsi"/>
          <w:sz w:val="22"/>
          <w:szCs w:val="22"/>
        </w:rPr>
        <w:t>wo</w:t>
      </w:r>
      <w:r w:rsidRPr="002B5C5A">
        <w:rPr>
          <w:rFonts w:asciiTheme="minorHAnsi" w:hAnsiTheme="minorHAnsi"/>
          <w:sz w:val="22"/>
          <w:szCs w:val="22"/>
        </w:rPr>
        <w:t xml:space="preserve"> national centres to ensure that they are maintained in </w:t>
      </w:r>
      <w:r w:rsidR="002B5C5A" w:rsidRPr="002B5C5A">
        <w:rPr>
          <w:rFonts w:asciiTheme="minorHAnsi" w:hAnsiTheme="minorHAnsi"/>
          <w:sz w:val="22"/>
          <w:szCs w:val="22"/>
        </w:rPr>
        <w:t>appropriate</w:t>
      </w:r>
      <w:r w:rsidRPr="002B5C5A">
        <w:rPr>
          <w:rFonts w:asciiTheme="minorHAnsi" w:hAnsiTheme="minorHAnsi"/>
          <w:sz w:val="22"/>
          <w:szCs w:val="22"/>
        </w:rPr>
        <w:t xml:space="preserve"> condition</w:t>
      </w:r>
      <w:r w:rsidR="002B5C5A" w:rsidRPr="002B5C5A">
        <w:rPr>
          <w:rFonts w:asciiTheme="minorHAnsi" w:hAnsiTheme="minorHAnsi"/>
          <w:sz w:val="22"/>
          <w:szCs w:val="22"/>
        </w:rPr>
        <w:t xml:space="preserve"> to optimise revenue generating opportunities</w:t>
      </w:r>
      <w:r w:rsidR="00AB77BF">
        <w:rPr>
          <w:rFonts w:asciiTheme="minorHAnsi" w:hAnsiTheme="minorHAnsi"/>
          <w:sz w:val="22"/>
          <w:szCs w:val="22"/>
        </w:rPr>
        <w:t>;</w:t>
      </w:r>
    </w:p>
    <w:p w14:paraId="6AF353EC" w14:textId="3662F0AF" w:rsidR="006A6997" w:rsidRPr="002B5C5A" w:rsidRDefault="006A6997" w:rsidP="006A6997">
      <w:pPr>
        <w:pStyle w:val="n"/>
        <w:numPr>
          <w:ilvl w:val="1"/>
          <w:numId w:val="4"/>
        </w:numPr>
        <w:rPr>
          <w:rFonts w:asciiTheme="minorHAnsi" w:hAnsiTheme="minorHAnsi"/>
          <w:sz w:val="22"/>
          <w:szCs w:val="22"/>
        </w:rPr>
      </w:pPr>
      <w:r w:rsidRPr="002B5C5A">
        <w:rPr>
          <w:rFonts w:asciiTheme="minorHAnsi" w:hAnsiTheme="minorHAnsi"/>
          <w:sz w:val="22"/>
          <w:szCs w:val="22"/>
        </w:rPr>
        <w:t>Review of existing regional offices to identify opportunities to co</w:t>
      </w:r>
      <w:r w:rsidR="009D4287" w:rsidRPr="002B5C5A">
        <w:rPr>
          <w:rFonts w:asciiTheme="minorHAnsi" w:hAnsiTheme="minorHAnsi"/>
          <w:sz w:val="22"/>
          <w:szCs w:val="22"/>
        </w:rPr>
        <w:t>-</w:t>
      </w:r>
      <w:r w:rsidRPr="002B5C5A">
        <w:rPr>
          <w:rFonts w:asciiTheme="minorHAnsi" w:hAnsiTheme="minorHAnsi"/>
          <w:sz w:val="22"/>
          <w:szCs w:val="22"/>
        </w:rPr>
        <w:t>locate with partners</w:t>
      </w:r>
      <w:r w:rsidR="00AB77BF">
        <w:rPr>
          <w:rFonts w:asciiTheme="minorHAnsi" w:hAnsiTheme="minorHAnsi"/>
          <w:sz w:val="22"/>
          <w:szCs w:val="22"/>
        </w:rPr>
        <w:t>; and</w:t>
      </w:r>
    </w:p>
    <w:p w14:paraId="70F39121" w14:textId="689BF14D" w:rsidR="00C6495A" w:rsidRPr="002B5C5A" w:rsidRDefault="006A6997" w:rsidP="00806012">
      <w:pPr>
        <w:pStyle w:val="n"/>
        <w:numPr>
          <w:ilvl w:val="1"/>
          <w:numId w:val="4"/>
        </w:numPr>
        <w:rPr>
          <w:rFonts w:asciiTheme="minorHAnsi" w:hAnsiTheme="minorHAnsi"/>
          <w:sz w:val="22"/>
          <w:szCs w:val="22"/>
        </w:rPr>
      </w:pPr>
      <w:r w:rsidRPr="002B5C5A">
        <w:rPr>
          <w:rFonts w:asciiTheme="minorHAnsi" w:hAnsiTheme="minorHAnsi"/>
          <w:sz w:val="22"/>
          <w:szCs w:val="22"/>
        </w:rPr>
        <w:t>Continu</w:t>
      </w:r>
      <w:r w:rsidR="00AB77BF">
        <w:rPr>
          <w:rFonts w:asciiTheme="minorHAnsi" w:hAnsiTheme="minorHAnsi"/>
          <w:sz w:val="22"/>
          <w:szCs w:val="22"/>
        </w:rPr>
        <w:t>e</w:t>
      </w:r>
      <w:r w:rsidRPr="002B5C5A">
        <w:rPr>
          <w:rFonts w:asciiTheme="minorHAnsi" w:hAnsiTheme="minorHAnsi"/>
          <w:sz w:val="22"/>
          <w:szCs w:val="22"/>
        </w:rPr>
        <w:t xml:space="preserve"> to sublet excess space in </w:t>
      </w:r>
      <w:r w:rsidR="00AB77BF">
        <w:rPr>
          <w:rFonts w:asciiTheme="minorHAnsi" w:hAnsiTheme="minorHAnsi"/>
          <w:sz w:val="22"/>
          <w:szCs w:val="22"/>
        </w:rPr>
        <w:t xml:space="preserve">the </w:t>
      </w:r>
      <w:r w:rsidRPr="002B5C5A">
        <w:rPr>
          <w:rFonts w:asciiTheme="minorHAnsi" w:hAnsiTheme="minorHAnsi"/>
          <w:sz w:val="22"/>
          <w:szCs w:val="22"/>
        </w:rPr>
        <w:t>House of Sport at Caledonia House, Edinburgh to S</w:t>
      </w:r>
      <w:r w:rsidR="00AB77BF">
        <w:rPr>
          <w:rFonts w:asciiTheme="minorHAnsi" w:hAnsiTheme="minorHAnsi"/>
          <w:sz w:val="22"/>
          <w:szCs w:val="22"/>
        </w:rPr>
        <w:t>GBs and other sports related bodies.</w:t>
      </w:r>
    </w:p>
    <w:sectPr w:rsidR="00C6495A" w:rsidRPr="002B5C5A" w:rsidSect="00650441">
      <w:footerReference w:type="default" r:id="rId15"/>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075D" w14:textId="77777777" w:rsidR="004B5F57" w:rsidRDefault="004B5F57" w:rsidP="005B4C21">
      <w:pPr>
        <w:spacing w:after="0" w:line="240" w:lineRule="auto"/>
      </w:pPr>
      <w:r>
        <w:separator/>
      </w:r>
    </w:p>
  </w:endnote>
  <w:endnote w:type="continuationSeparator" w:id="0">
    <w:p w14:paraId="6CEEA1C3" w14:textId="77777777" w:rsidR="004B5F57" w:rsidRDefault="004B5F57" w:rsidP="005B4C21">
      <w:pPr>
        <w:spacing w:after="0" w:line="240" w:lineRule="auto"/>
      </w:pPr>
      <w:r>
        <w:continuationSeparator/>
      </w:r>
    </w:p>
  </w:endnote>
  <w:endnote w:type="continuationNotice" w:id="1">
    <w:p w14:paraId="0F97B6EB" w14:textId="77777777" w:rsidR="004B5F57" w:rsidRDefault="004B5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08592"/>
      <w:docPartObj>
        <w:docPartGallery w:val="Page Numbers (Bottom of Page)"/>
        <w:docPartUnique/>
      </w:docPartObj>
    </w:sdtPr>
    <w:sdtEndPr>
      <w:rPr>
        <w:noProof/>
      </w:rPr>
    </w:sdtEndPr>
    <w:sdtContent>
      <w:p w14:paraId="363B3692" w14:textId="3444DB97" w:rsidR="008C610E" w:rsidRDefault="008C61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68841E" w14:textId="77777777" w:rsidR="008C610E" w:rsidRDefault="008C610E">
    <w:pPr>
      <w:pStyle w:val="Footer"/>
    </w:pPr>
  </w:p>
  <w:p w14:paraId="73C2147C" w14:textId="77777777" w:rsidR="0050065E" w:rsidRDefault="00500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E03C" w14:textId="77777777" w:rsidR="004B5F57" w:rsidRDefault="004B5F57" w:rsidP="005B4C21">
      <w:pPr>
        <w:spacing w:after="0" w:line="240" w:lineRule="auto"/>
      </w:pPr>
      <w:r>
        <w:separator/>
      </w:r>
    </w:p>
  </w:footnote>
  <w:footnote w:type="continuationSeparator" w:id="0">
    <w:p w14:paraId="219F6786" w14:textId="77777777" w:rsidR="004B5F57" w:rsidRDefault="004B5F57" w:rsidP="005B4C21">
      <w:pPr>
        <w:spacing w:after="0" w:line="240" w:lineRule="auto"/>
      </w:pPr>
      <w:r>
        <w:continuationSeparator/>
      </w:r>
    </w:p>
  </w:footnote>
  <w:footnote w:type="continuationNotice" w:id="1">
    <w:p w14:paraId="46172694" w14:textId="77777777" w:rsidR="004B5F57" w:rsidRDefault="004B5F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6318"/>
    <w:multiLevelType w:val="hybridMultilevel"/>
    <w:tmpl w:val="BB6806BC"/>
    <w:lvl w:ilvl="0" w:tplc="08090001">
      <w:start w:val="1"/>
      <w:numFmt w:val="bullet"/>
      <w:lvlText w:val=""/>
      <w:lvlJc w:val="left"/>
      <w:pPr>
        <w:ind w:left="1683" w:hanging="360"/>
      </w:pPr>
      <w:rPr>
        <w:rFonts w:ascii="Symbol" w:hAnsi="Symbol" w:hint="default"/>
      </w:rPr>
    </w:lvl>
    <w:lvl w:ilvl="1" w:tplc="08090003">
      <w:start w:val="1"/>
      <w:numFmt w:val="bullet"/>
      <w:lvlText w:val="o"/>
      <w:lvlJc w:val="left"/>
      <w:pPr>
        <w:ind w:left="2403" w:hanging="360"/>
      </w:pPr>
      <w:rPr>
        <w:rFonts w:ascii="Courier New" w:hAnsi="Courier New" w:cs="Courier New" w:hint="default"/>
      </w:rPr>
    </w:lvl>
    <w:lvl w:ilvl="2" w:tplc="08090005">
      <w:start w:val="1"/>
      <w:numFmt w:val="bullet"/>
      <w:lvlText w:val=""/>
      <w:lvlJc w:val="left"/>
      <w:pPr>
        <w:ind w:left="3123" w:hanging="360"/>
      </w:pPr>
      <w:rPr>
        <w:rFonts w:ascii="Wingdings" w:hAnsi="Wingdings" w:hint="default"/>
      </w:rPr>
    </w:lvl>
    <w:lvl w:ilvl="3" w:tplc="08090001" w:tentative="1">
      <w:start w:val="1"/>
      <w:numFmt w:val="bullet"/>
      <w:lvlText w:val=""/>
      <w:lvlJc w:val="left"/>
      <w:pPr>
        <w:ind w:left="3843" w:hanging="360"/>
      </w:pPr>
      <w:rPr>
        <w:rFonts w:ascii="Symbol" w:hAnsi="Symbol" w:hint="default"/>
      </w:rPr>
    </w:lvl>
    <w:lvl w:ilvl="4" w:tplc="08090003" w:tentative="1">
      <w:start w:val="1"/>
      <w:numFmt w:val="bullet"/>
      <w:lvlText w:val="o"/>
      <w:lvlJc w:val="left"/>
      <w:pPr>
        <w:ind w:left="4563" w:hanging="360"/>
      </w:pPr>
      <w:rPr>
        <w:rFonts w:ascii="Courier New" w:hAnsi="Courier New" w:cs="Courier New" w:hint="default"/>
      </w:rPr>
    </w:lvl>
    <w:lvl w:ilvl="5" w:tplc="08090005" w:tentative="1">
      <w:start w:val="1"/>
      <w:numFmt w:val="bullet"/>
      <w:lvlText w:val=""/>
      <w:lvlJc w:val="left"/>
      <w:pPr>
        <w:ind w:left="5283" w:hanging="360"/>
      </w:pPr>
      <w:rPr>
        <w:rFonts w:ascii="Wingdings" w:hAnsi="Wingdings" w:hint="default"/>
      </w:rPr>
    </w:lvl>
    <w:lvl w:ilvl="6" w:tplc="08090001" w:tentative="1">
      <w:start w:val="1"/>
      <w:numFmt w:val="bullet"/>
      <w:lvlText w:val=""/>
      <w:lvlJc w:val="left"/>
      <w:pPr>
        <w:ind w:left="6003" w:hanging="360"/>
      </w:pPr>
      <w:rPr>
        <w:rFonts w:ascii="Symbol" w:hAnsi="Symbol" w:hint="default"/>
      </w:rPr>
    </w:lvl>
    <w:lvl w:ilvl="7" w:tplc="08090003" w:tentative="1">
      <w:start w:val="1"/>
      <w:numFmt w:val="bullet"/>
      <w:lvlText w:val="o"/>
      <w:lvlJc w:val="left"/>
      <w:pPr>
        <w:ind w:left="6723" w:hanging="360"/>
      </w:pPr>
      <w:rPr>
        <w:rFonts w:ascii="Courier New" w:hAnsi="Courier New" w:cs="Courier New" w:hint="default"/>
      </w:rPr>
    </w:lvl>
    <w:lvl w:ilvl="8" w:tplc="08090005" w:tentative="1">
      <w:start w:val="1"/>
      <w:numFmt w:val="bullet"/>
      <w:lvlText w:val=""/>
      <w:lvlJc w:val="left"/>
      <w:pPr>
        <w:ind w:left="7443" w:hanging="360"/>
      </w:pPr>
      <w:rPr>
        <w:rFonts w:ascii="Wingdings" w:hAnsi="Wingdings" w:hint="default"/>
      </w:rPr>
    </w:lvl>
  </w:abstractNum>
  <w:abstractNum w:abstractNumId="1" w15:restartNumberingAfterBreak="0">
    <w:nsid w:val="31885F85"/>
    <w:multiLevelType w:val="hybridMultilevel"/>
    <w:tmpl w:val="8418F4C4"/>
    <w:lvl w:ilvl="0" w:tplc="08090001">
      <w:start w:val="1"/>
      <w:numFmt w:val="bullet"/>
      <w:lvlText w:val=""/>
      <w:lvlJc w:val="left"/>
      <w:pPr>
        <w:ind w:left="1095" w:hanging="360"/>
      </w:pPr>
      <w:rPr>
        <w:rFonts w:ascii="Symbol" w:hAnsi="Symbol" w:hint="default"/>
      </w:rPr>
    </w:lvl>
    <w:lvl w:ilvl="1" w:tplc="08090003">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 w15:restartNumberingAfterBreak="0">
    <w:nsid w:val="4D50396F"/>
    <w:multiLevelType w:val="hybridMultilevel"/>
    <w:tmpl w:val="4002E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0D64C4"/>
    <w:multiLevelType w:val="multilevel"/>
    <w:tmpl w:val="B95697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4412ECF"/>
    <w:multiLevelType w:val="hybridMultilevel"/>
    <w:tmpl w:val="E7D2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560254">
    <w:abstractNumId w:val="3"/>
  </w:num>
  <w:num w:numId="2" w16cid:durableId="1788962030">
    <w:abstractNumId w:val="4"/>
  </w:num>
  <w:num w:numId="3" w16cid:durableId="184056045">
    <w:abstractNumId w:val="2"/>
  </w:num>
  <w:num w:numId="4" w16cid:durableId="793642879">
    <w:abstractNumId w:val="1"/>
  </w:num>
  <w:num w:numId="5" w16cid:durableId="112689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51"/>
    <w:rsid w:val="000248C2"/>
    <w:rsid w:val="000710AA"/>
    <w:rsid w:val="000E5A87"/>
    <w:rsid w:val="00107845"/>
    <w:rsid w:val="00124D23"/>
    <w:rsid w:val="001623EC"/>
    <w:rsid w:val="0019236D"/>
    <w:rsid w:val="00196622"/>
    <w:rsid w:val="00197E4A"/>
    <w:rsid w:val="001A08BC"/>
    <w:rsid w:val="001B6318"/>
    <w:rsid w:val="001C49CE"/>
    <w:rsid w:val="001F0020"/>
    <w:rsid w:val="001F4619"/>
    <w:rsid w:val="00201058"/>
    <w:rsid w:val="00201A83"/>
    <w:rsid w:val="00223C30"/>
    <w:rsid w:val="00262C02"/>
    <w:rsid w:val="00281F2F"/>
    <w:rsid w:val="0029532D"/>
    <w:rsid w:val="002B52C9"/>
    <w:rsid w:val="002B5C5A"/>
    <w:rsid w:val="002E77CD"/>
    <w:rsid w:val="00307D1B"/>
    <w:rsid w:val="00337FD2"/>
    <w:rsid w:val="00395790"/>
    <w:rsid w:val="003B0B53"/>
    <w:rsid w:val="003E6A59"/>
    <w:rsid w:val="003F1246"/>
    <w:rsid w:val="00473812"/>
    <w:rsid w:val="004B5F57"/>
    <w:rsid w:val="004D2048"/>
    <w:rsid w:val="004F42EE"/>
    <w:rsid w:val="0050065E"/>
    <w:rsid w:val="00564650"/>
    <w:rsid w:val="00573AA0"/>
    <w:rsid w:val="005B4C21"/>
    <w:rsid w:val="006202C7"/>
    <w:rsid w:val="00634A68"/>
    <w:rsid w:val="006405F3"/>
    <w:rsid w:val="00650441"/>
    <w:rsid w:val="006510B2"/>
    <w:rsid w:val="006630F4"/>
    <w:rsid w:val="006A6997"/>
    <w:rsid w:val="0070559D"/>
    <w:rsid w:val="00722E8C"/>
    <w:rsid w:val="007303D9"/>
    <w:rsid w:val="00754A16"/>
    <w:rsid w:val="00774A9D"/>
    <w:rsid w:val="007D6E64"/>
    <w:rsid w:val="00804B75"/>
    <w:rsid w:val="00806012"/>
    <w:rsid w:val="0081327D"/>
    <w:rsid w:val="00823389"/>
    <w:rsid w:val="00852B6B"/>
    <w:rsid w:val="00863EF9"/>
    <w:rsid w:val="00864A23"/>
    <w:rsid w:val="00875AC6"/>
    <w:rsid w:val="008A0B98"/>
    <w:rsid w:val="008C610E"/>
    <w:rsid w:val="0091241D"/>
    <w:rsid w:val="009235D7"/>
    <w:rsid w:val="00926CA2"/>
    <w:rsid w:val="009405C4"/>
    <w:rsid w:val="009414AE"/>
    <w:rsid w:val="0094564C"/>
    <w:rsid w:val="00956984"/>
    <w:rsid w:val="00975990"/>
    <w:rsid w:val="00981C57"/>
    <w:rsid w:val="00992D18"/>
    <w:rsid w:val="009C570A"/>
    <w:rsid w:val="009D4287"/>
    <w:rsid w:val="009D7CD8"/>
    <w:rsid w:val="009F7B5D"/>
    <w:rsid w:val="00A331E5"/>
    <w:rsid w:val="00A70913"/>
    <w:rsid w:val="00AA25B6"/>
    <w:rsid w:val="00AB77BF"/>
    <w:rsid w:val="00AC256A"/>
    <w:rsid w:val="00B045A5"/>
    <w:rsid w:val="00B0516D"/>
    <w:rsid w:val="00B06348"/>
    <w:rsid w:val="00B2555C"/>
    <w:rsid w:val="00B455B0"/>
    <w:rsid w:val="00B47C78"/>
    <w:rsid w:val="00BD6171"/>
    <w:rsid w:val="00BD67C3"/>
    <w:rsid w:val="00BF0C29"/>
    <w:rsid w:val="00BF4BFD"/>
    <w:rsid w:val="00C03207"/>
    <w:rsid w:val="00C36018"/>
    <w:rsid w:val="00C6495A"/>
    <w:rsid w:val="00C67217"/>
    <w:rsid w:val="00C72FDE"/>
    <w:rsid w:val="00C74BCE"/>
    <w:rsid w:val="00C90E42"/>
    <w:rsid w:val="00CB3177"/>
    <w:rsid w:val="00CB4BA8"/>
    <w:rsid w:val="00CF73C5"/>
    <w:rsid w:val="00D233BA"/>
    <w:rsid w:val="00D5212B"/>
    <w:rsid w:val="00D6604A"/>
    <w:rsid w:val="00D72790"/>
    <w:rsid w:val="00D80166"/>
    <w:rsid w:val="00D9241E"/>
    <w:rsid w:val="00D96658"/>
    <w:rsid w:val="00DA680F"/>
    <w:rsid w:val="00DB45CA"/>
    <w:rsid w:val="00DE1595"/>
    <w:rsid w:val="00DE1A84"/>
    <w:rsid w:val="00E84AC0"/>
    <w:rsid w:val="00E90651"/>
    <w:rsid w:val="00E946A5"/>
    <w:rsid w:val="00ED4203"/>
    <w:rsid w:val="00EE70F4"/>
    <w:rsid w:val="00F040E0"/>
    <w:rsid w:val="00F35175"/>
    <w:rsid w:val="00F429F2"/>
    <w:rsid w:val="00F5077C"/>
    <w:rsid w:val="00F84D75"/>
    <w:rsid w:val="1DE45B5F"/>
    <w:rsid w:val="29F163B0"/>
    <w:rsid w:val="3D1BE5A5"/>
    <w:rsid w:val="48F06CD5"/>
    <w:rsid w:val="50A2A37C"/>
    <w:rsid w:val="5FFA3072"/>
    <w:rsid w:val="6970B36C"/>
    <w:rsid w:val="7CEFE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BAE7"/>
  <w15:docId w15:val="{94FADD8F-4DE7-4E1D-8FA2-93A279BF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Indent"/>
    <w:link w:val="Heading5Char"/>
    <w:qFormat/>
    <w:rsid w:val="00B455B0"/>
    <w:pPr>
      <w:overflowPunct w:val="0"/>
      <w:autoSpaceDE w:val="0"/>
      <w:autoSpaceDN w:val="0"/>
      <w:adjustRightInd w:val="0"/>
      <w:spacing w:after="0" w:line="240" w:lineRule="auto"/>
      <w:ind w:left="720"/>
      <w:textAlignment w:val="baseline"/>
      <w:outlineLvl w:val="4"/>
    </w:pPr>
    <w:rPr>
      <w:rFonts w:ascii="Arial" w:eastAsia="Times New Roman" w:hAnsi="Arial" w:cs="Times New Roman"/>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51"/>
    <w:pPr>
      <w:ind w:left="720"/>
      <w:contextualSpacing/>
    </w:pPr>
  </w:style>
  <w:style w:type="table" w:styleId="TableGrid">
    <w:name w:val="Table Grid"/>
    <w:basedOn w:val="TableNormal"/>
    <w:uiPriority w:val="59"/>
    <w:rsid w:val="00E9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
    <w:name w:val="n"/>
    <w:basedOn w:val="Normal"/>
    <w:link w:val="nChar"/>
    <w:rsid w:val="00956984"/>
    <w:pPr>
      <w:tabs>
        <w:tab w:val="num" w:pos="794"/>
        <w:tab w:val="right" w:pos="8959"/>
      </w:tabs>
      <w:overflowPunct w:val="0"/>
      <w:autoSpaceDE w:val="0"/>
      <w:autoSpaceDN w:val="0"/>
      <w:adjustRightInd w:val="0"/>
      <w:spacing w:before="240" w:after="0" w:line="240" w:lineRule="auto"/>
      <w:ind w:left="794" w:hanging="794"/>
      <w:jc w:val="both"/>
      <w:textAlignment w:val="baseline"/>
    </w:pPr>
    <w:rPr>
      <w:rFonts w:ascii="Arial" w:eastAsia="Times New Roman" w:hAnsi="Arial" w:cs="Times New Roman"/>
      <w:sz w:val="23"/>
      <w:szCs w:val="20"/>
    </w:rPr>
  </w:style>
  <w:style w:type="character" w:customStyle="1" w:styleId="nChar">
    <w:name w:val="n Char"/>
    <w:basedOn w:val="DefaultParagraphFont"/>
    <w:link w:val="n"/>
    <w:rsid w:val="00956984"/>
    <w:rPr>
      <w:rFonts w:ascii="Arial" w:eastAsia="Times New Roman" w:hAnsi="Arial" w:cs="Times New Roman"/>
      <w:sz w:val="23"/>
      <w:szCs w:val="20"/>
    </w:rPr>
  </w:style>
  <w:style w:type="paragraph" w:styleId="BalloonText">
    <w:name w:val="Balloon Text"/>
    <w:basedOn w:val="Normal"/>
    <w:link w:val="BalloonTextChar"/>
    <w:uiPriority w:val="99"/>
    <w:semiHidden/>
    <w:unhideWhenUsed/>
    <w:rsid w:val="0080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12"/>
    <w:rPr>
      <w:rFonts w:ascii="Tahoma" w:hAnsi="Tahoma" w:cs="Tahoma"/>
      <w:sz w:val="16"/>
      <w:szCs w:val="16"/>
    </w:rPr>
  </w:style>
  <w:style w:type="paragraph" w:customStyle="1" w:styleId="Intro">
    <w:name w:val="Intro"/>
    <w:basedOn w:val="Title"/>
    <w:next w:val="Normal"/>
    <w:link w:val="IntroChar"/>
    <w:uiPriority w:val="99"/>
    <w:rsid w:val="005B4C21"/>
    <w:pPr>
      <w:tabs>
        <w:tab w:val="right" w:pos="8959"/>
      </w:tabs>
      <w:overflowPunct w:val="0"/>
      <w:autoSpaceDE w:val="0"/>
      <w:autoSpaceDN w:val="0"/>
      <w:adjustRightInd w:val="0"/>
      <w:spacing w:before="960"/>
      <w:contextualSpacing w:val="0"/>
      <w:jc w:val="both"/>
      <w:textAlignment w:val="baseline"/>
    </w:pPr>
    <w:rPr>
      <w:rFonts w:ascii="Arial" w:eastAsia="Times New Roman" w:hAnsi="Arial" w:cs="Times New Roman"/>
      <w:b/>
      <w:spacing w:val="0"/>
      <w:kern w:val="0"/>
      <w:sz w:val="32"/>
      <w:szCs w:val="20"/>
    </w:rPr>
  </w:style>
  <w:style w:type="paragraph" w:customStyle="1" w:styleId="Onlyuseindocheader-doctitle">
    <w:name w:val="Only use in doc header - doc title"/>
    <w:link w:val="Onlyuseindocheader-doctitleChar"/>
    <w:qFormat/>
    <w:rsid w:val="005B4C21"/>
    <w:pPr>
      <w:spacing w:before="60" w:after="60" w:line="600" w:lineRule="exact"/>
    </w:pPr>
    <w:rPr>
      <w:rFonts w:ascii="Arial Black" w:eastAsia="Times New Roman" w:hAnsi="Arial Black" w:cs="Times New Roman"/>
      <w:spacing w:val="-20"/>
      <w:sz w:val="64"/>
      <w:szCs w:val="64"/>
      <w:lang w:val="en-US"/>
    </w:rPr>
  </w:style>
  <w:style w:type="paragraph" w:customStyle="1" w:styleId="Onlyuseindocheader-categorystyle">
    <w:name w:val="Only use in doc header - category style"/>
    <w:qFormat/>
    <w:rsid w:val="005B4C21"/>
    <w:pPr>
      <w:spacing w:after="0" w:line="240" w:lineRule="auto"/>
    </w:pPr>
    <w:rPr>
      <w:rFonts w:ascii="Arial" w:eastAsia="Times New Roman" w:hAnsi="Arial" w:cs="Times New Roman"/>
      <w:b/>
      <w:noProof/>
      <w:color w:val="FF0000"/>
      <w:lang w:eastAsia="en-GB"/>
    </w:rPr>
  </w:style>
  <w:style w:type="paragraph" w:customStyle="1" w:styleId="Onlyuseindocheader-subtitleifneeded">
    <w:name w:val="Only use in doc header  - subtitle if needed"/>
    <w:link w:val="Onlyuseindocheader-subtitleifneededChar"/>
    <w:qFormat/>
    <w:rsid w:val="005B4C21"/>
    <w:pPr>
      <w:spacing w:after="0" w:line="240" w:lineRule="auto"/>
    </w:pPr>
    <w:rPr>
      <w:rFonts w:ascii="Arial" w:eastAsia="Times New Roman" w:hAnsi="Arial" w:cs="Times New Roman"/>
      <w:b/>
      <w:sz w:val="26"/>
      <w:szCs w:val="26"/>
      <w:lang w:val="en-US"/>
    </w:rPr>
  </w:style>
  <w:style w:type="character" w:customStyle="1" w:styleId="Onlyuseindocheader-doctitleChar">
    <w:name w:val="Only use in doc header - doc title Char"/>
    <w:basedOn w:val="DefaultParagraphFont"/>
    <w:link w:val="Onlyuseindocheader-doctitle"/>
    <w:rsid w:val="005B4C21"/>
    <w:rPr>
      <w:rFonts w:ascii="Arial Black" w:eastAsia="Times New Roman" w:hAnsi="Arial Black" w:cs="Times New Roman"/>
      <w:spacing w:val="-20"/>
      <w:sz w:val="64"/>
      <w:szCs w:val="64"/>
      <w:lang w:val="en-US"/>
    </w:rPr>
  </w:style>
  <w:style w:type="character" w:customStyle="1" w:styleId="Onlyuseindocheader-subtitleifneededChar">
    <w:name w:val="Only use in doc header  - subtitle if needed Char"/>
    <w:basedOn w:val="DefaultParagraphFont"/>
    <w:link w:val="Onlyuseindocheader-subtitleifneeded"/>
    <w:rsid w:val="005B4C21"/>
    <w:rPr>
      <w:rFonts w:ascii="Arial" w:eastAsia="Times New Roman" w:hAnsi="Arial" w:cs="Times New Roman"/>
      <w:b/>
      <w:sz w:val="26"/>
      <w:szCs w:val="26"/>
      <w:lang w:val="en-US"/>
    </w:rPr>
  </w:style>
  <w:style w:type="paragraph" w:styleId="Title">
    <w:name w:val="Title"/>
    <w:basedOn w:val="Normal"/>
    <w:next w:val="Normal"/>
    <w:link w:val="TitleChar"/>
    <w:uiPriority w:val="10"/>
    <w:qFormat/>
    <w:rsid w:val="005B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4C2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4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C21"/>
  </w:style>
  <w:style w:type="paragraph" w:styleId="Footer">
    <w:name w:val="footer"/>
    <w:basedOn w:val="Normal"/>
    <w:link w:val="FooterChar"/>
    <w:uiPriority w:val="99"/>
    <w:unhideWhenUsed/>
    <w:rsid w:val="005B4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C21"/>
  </w:style>
  <w:style w:type="character" w:customStyle="1" w:styleId="Heading5Char">
    <w:name w:val="Heading 5 Char"/>
    <w:basedOn w:val="DefaultParagraphFont"/>
    <w:link w:val="Heading5"/>
    <w:rsid w:val="00B455B0"/>
    <w:rPr>
      <w:rFonts w:ascii="Arial" w:eastAsia="Times New Roman" w:hAnsi="Arial" w:cs="Times New Roman"/>
      <w:b/>
      <w:sz w:val="23"/>
      <w:szCs w:val="20"/>
    </w:rPr>
  </w:style>
  <w:style w:type="paragraph" w:styleId="NormalIndent">
    <w:name w:val="Normal Indent"/>
    <w:basedOn w:val="Normal"/>
    <w:rsid w:val="00B455B0"/>
    <w:pPr>
      <w:overflowPunct w:val="0"/>
      <w:autoSpaceDE w:val="0"/>
      <w:autoSpaceDN w:val="0"/>
      <w:adjustRightInd w:val="0"/>
      <w:spacing w:after="0" w:line="240" w:lineRule="auto"/>
      <w:ind w:left="720"/>
      <w:textAlignment w:val="baseline"/>
    </w:pPr>
    <w:rPr>
      <w:rFonts w:ascii="Arial" w:eastAsia="Times New Roman" w:hAnsi="Arial" w:cs="Times New Roman"/>
      <w:sz w:val="23"/>
      <w:szCs w:val="20"/>
    </w:rPr>
  </w:style>
  <w:style w:type="character" w:customStyle="1" w:styleId="BodytextChar">
    <w:name w:val="Body text Char"/>
    <w:basedOn w:val="DefaultParagraphFont"/>
    <w:link w:val="BodyText1"/>
    <w:rsid w:val="00B455B0"/>
    <w:rPr>
      <w:rFonts w:ascii="Arial" w:hAnsi="Arial"/>
      <w:szCs w:val="24"/>
      <w:lang w:val="en-US"/>
    </w:rPr>
  </w:style>
  <w:style w:type="paragraph" w:customStyle="1" w:styleId="BodyText1">
    <w:name w:val="Body Text1"/>
    <w:link w:val="BodytextChar"/>
    <w:rsid w:val="00B455B0"/>
    <w:pPr>
      <w:spacing w:after="120" w:line="288" w:lineRule="auto"/>
    </w:pPr>
    <w:rPr>
      <w:rFonts w:ascii="Arial" w:hAnsi="Arial"/>
      <w:szCs w:val="24"/>
      <w:lang w:val="en-US"/>
    </w:rPr>
  </w:style>
  <w:style w:type="paragraph" w:customStyle="1" w:styleId="Default">
    <w:name w:val="Default"/>
    <w:rsid w:val="00573AA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rsid w:val="00864A23"/>
    <w:rPr>
      <w:position w:val="6"/>
      <w:sz w:val="16"/>
    </w:rPr>
  </w:style>
  <w:style w:type="paragraph" w:styleId="FootnoteText">
    <w:name w:val="footnote text"/>
    <w:basedOn w:val="Normal"/>
    <w:link w:val="FootnoteTextChar"/>
    <w:rsid w:val="00864A23"/>
    <w:pPr>
      <w:overflowPunct w:val="0"/>
      <w:autoSpaceDE w:val="0"/>
      <w:autoSpaceDN w:val="0"/>
      <w:adjustRightInd w:val="0"/>
      <w:spacing w:after="0" w:line="240" w:lineRule="auto"/>
      <w:textAlignment w:val="baseline"/>
    </w:pPr>
    <w:rPr>
      <w:rFonts w:ascii="Arial" w:eastAsia="Times New Roman" w:hAnsi="Arial" w:cs="Times New Roman"/>
      <w:sz w:val="23"/>
      <w:szCs w:val="20"/>
    </w:rPr>
  </w:style>
  <w:style w:type="character" w:customStyle="1" w:styleId="FootnoteTextChar">
    <w:name w:val="Footnote Text Char"/>
    <w:basedOn w:val="DefaultParagraphFont"/>
    <w:link w:val="FootnoteText"/>
    <w:rsid w:val="00864A23"/>
    <w:rPr>
      <w:rFonts w:ascii="Arial" w:eastAsia="Times New Roman" w:hAnsi="Arial" w:cs="Times New Roman"/>
      <w:sz w:val="23"/>
      <w:szCs w:val="20"/>
    </w:rPr>
  </w:style>
  <w:style w:type="character" w:styleId="Hyperlink">
    <w:name w:val="Hyperlink"/>
    <w:uiPriority w:val="99"/>
    <w:rsid w:val="00864A23"/>
    <w:rPr>
      <w:color w:val="0000FF"/>
      <w:u w:val="single"/>
    </w:rPr>
  </w:style>
  <w:style w:type="character" w:customStyle="1" w:styleId="IntroChar">
    <w:name w:val="Intro Char"/>
    <w:basedOn w:val="TitleChar"/>
    <w:link w:val="Intro"/>
    <w:uiPriority w:val="99"/>
    <w:rsid w:val="00107845"/>
    <w:rPr>
      <w:rFonts w:ascii="Arial" w:eastAsia="Times New Roman" w:hAnsi="Arial" w:cs="Times New Roman"/>
      <w:b/>
      <w:spacing w:val="-10"/>
      <w:kern w:val="28"/>
      <w:sz w:val="32"/>
      <w:szCs w:val="20"/>
    </w:rPr>
  </w:style>
  <w:style w:type="character" w:customStyle="1" w:styleId="normaltextrun">
    <w:name w:val="normaltextrun"/>
    <w:basedOn w:val="DefaultParagraphFont"/>
    <w:rsid w:val="00107845"/>
  </w:style>
  <w:style w:type="character" w:customStyle="1" w:styleId="eop">
    <w:name w:val="eop"/>
    <w:basedOn w:val="DefaultParagraphFont"/>
    <w:rsid w:val="00107845"/>
  </w:style>
  <w:style w:type="character" w:styleId="UnresolvedMention">
    <w:name w:val="Unresolved Mention"/>
    <w:basedOn w:val="DefaultParagraphFont"/>
    <w:uiPriority w:val="99"/>
    <w:semiHidden/>
    <w:unhideWhenUsed/>
    <w:rsid w:val="00DE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ortscotland.org.uk/media/1540578/psra-25k-analysis-2021-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46BE83503C28F42985AED1D7E6005E6" ma:contentTypeVersion="27" ma:contentTypeDescription="Create a new document." ma:contentTypeScope="" ma:versionID="c26e77c37e7c08cdb8e2f8f86c5a0b40">
  <xsd:schema xmlns:xsd="http://www.w3.org/2001/XMLSchema" xmlns:xs="http://www.w3.org/2001/XMLSchema" xmlns:p="http://schemas.microsoft.com/office/2006/metadata/properties" xmlns:ns2="dbb8eb13-8159-49c5-b55e-052e4280298e" xmlns:ns3="3d1832c6-e674-4727-9355-4a4275db6b33" targetNamespace="http://schemas.microsoft.com/office/2006/metadata/properties" ma:root="true" ma:fieldsID="d5eb81ff4e0d2e7ced8d9dc5b0f1abba" ns2:_="" ns3:_="">
    <xsd:import namespace="dbb8eb13-8159-49c5-b55e-052e4280298e"/>
    <xsd:import namespace="3d1832c6-e674-4727-9355-4a4275db6b33"/>
    <xsd:element name="properties">
      <xsd:complexType>
        <xsd:sequence>
          <xsd:element name="documentManagement">
            <xsd:complexType>
              <xsd:all>
                <xsd:element ref="ns2:Expired" minOccurs="0"/>
                <xsd:element ref="ns2:_dlc_DocIdPersistId" minOccurs="0"/>
                <xsd:element ref="ns2:_dlc_DocId" minOccurs="0"/>
                <xsd:element ref="ns2:_dlc_DocIdUr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ma:readOnly="false">
      <xsd:simpleType>
        <xsd:restriction base="dms:Boolean"/>
      </xsd:simpleType>
    </xsd:element>
    <xsd:element name="_dlc_DocIdPersistId" ma:index="5" nillable="true" ma:displayName="Persist ID" ma:description="Keep ID on add." ma:hidden="true" ma:internalName="_dlc_DocIdPersistId" ma:readOnly="false">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57cd2fc-db36-4ed0-80cf-462427ea13a7}" ma:internalName="TaxCatchAll" ma:showField="CatchAllData" ma:web="dbb8eb13-8159-49c5-b55e-052e428029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1832c6-e674-4727-9355-4a4275db6b3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3e48ed-9728-4b07-a7f8-5fbb5785ed7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_dlc_DocIdPersistId xmlns="dbb8eb13-8159-49c5-b55e-052e4280298e" xsi:nil="true"/>
    <_dlc_DocId xmlns="dbb8eb13-8159-49c5-b55e-052e4280298e">FIN0FINANCE-1479012437-4525</_dlc_DocId>
    <_dlc_DocIdUrl xmlns="dbb8eb13-8159-49c5-b55e-052e4280298e">
      <Url>https://sportscotland.sharepoint.com/sites/FIN_Finance/_layouts/15/DocIdRedir.aspx?ID=FIN0FINANCE-1479012437-4525</Url>
      <Description>FIN0FINANCE-1479012437-4525</Description>
    </_dlc_DocIdUrl>
    <SharedWithUsers xmlns="dbb8eb13-8159-49c5-b55e-052e4280298e">
      <UserInfo>
        <DisplayName>Forbes Dunlop</DisplayName>
        <AccountId>89</AccountId>
        <AccountType/>
      </UserInfo>
      <UserInfo>
        <DisplayName>Simon Taaffe</DisplayName>
        <AccountId>90</AccountId>
        <AccountType/>
      </UserInfo>
      <UserInfo>
        <DisplayName>Neville Cobb</DisplayName>
        <AccountId>32</AccountId>
        <AccountType/>
      </UserInfo>
    </SharedWithUsers>
    <TaxCatchAll xmlns="dbb8eb13-8159-49c5-b55e-052e4280298e" xsi:nil="true"/>
    <lcf76f155ced4ddcb4097134ff3c332f xmlns="3d1832c6-e674-4727-9355-4a4275db6b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8D01F4-625B-4684-B765-D34837DDB078}">
  <ds:schemaRefs>
    <ds:schemaRef ds:uri="http://schemas.microsoft.com/sharepoint/v3/contenttype/forms"/>
  </ds:schemaRefs>
</ds:datastoreItem>
</file>

<file path=customXml/itemProps2.xml><?xml version="1.0" encoding="utf-8"?>
<ds:datastoreItem xmlns:ds="http://schemas.openxmlformats.org/officeDocument/2006/customXml" ds:itemID="{CB9E63DC-14E7-436E-B959-11BB655FD1FD}">
  <ds:schemaRefs>
    <ds:schemaRef ds:uri="http://schemas.openxmlformats.org/officeDocument/2006/bibliography"/>
  </ds:schemaRefs>
</ds:datastoreItem>
</file>

<file path=customXml/itemProps3.xml><?xml version="1.0" encoding="utf-8"?>
<ds:datastoreItem xmlns:ds="http://schemas.openxmlformats.org/officeDocument/2006/customXml" ds:itemID="{73EF399A-75B6-4F78-9D6D-E2DD128EA0E4}">
  <ds:schemaRefs>
    <ds:schemaRef ds:uri="http://schemas.microsoft.com/sharepoint/events"/>
  </ds:schemaRefs>
</ds:datastoreItem>
</file>

<file path=customXml/itemProps4.xml><?xml version="1.0" encoding="utf-8"?>
<ds:datastoreItem xmlns:ds="http://schemas.openxmlformats.org/officeDocument/2006/customXml" ds:itemID="{0C027E01-4A4E-468C-B4BE-19CEA34B8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3d1832c6-e674-4727-9355-4a4275db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15B00-563C-458C-ABEE-19F784B66F68}">
  <ds:schemaRefs>
    <ds:schemaRef ds:uri="http://schemas.microsoft.com/office/2006/metadata/properties"/>
    <ds:schemaRef ds:uri="http://schemas.microsoft.com/office/infopath/2007/PartnerControls"/>
    <ds:schemaRef ds:uri="dbb8eb13-8159-49c5-b55e-052e4280298e"/>
    <ds:schemaRef ds:uri="3d1832c6-e674-4727-9355-4a4275db6b33"/>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1860</Words>
  <Characters>10606</Characters>
  <Application>Microsoft Office Word</Application>
  <DocSecurity>0</DocSecurity>
  <Lines>88</Lines>
  <Paragraphs>24</Paragraphs>
  <ScaleCrop>false</ScaleCrop>
  <Company>sportscotland</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PSRA Report</dc:title>
  <dc:subject/>
  <dc:creator>neville.cobb</dc:creator>
  <cp:keywords/>
  <cp:lastModifiedBy>Ronnie Macquaker</cp:lastModifiedBy>
  <cp:revision>27</cp:revision>
  <cp:lastPrinted>2019-01-04T23:19:00Z</cp:lastPrinted>
  <dcterms:created xsi:type="dcterms:W3CDTF">2023-03-20T16:03:00Z</dcterms:created>
  <dcterms:modified xsi:type="dcterms:W3CDTF">2023-03-27T09:33:00Z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0x010100046BE83503C28F42985AED1D7E6005E6</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_dlc_DocIdItemGuid">
    <vt:lpwstr>e25bd86e-e6e9-4045-930e-824a68179de0</vt:lpwstr>
  </property>
  <property fmtid="{D5CDD505-2E9C-101B-9397-08002B2CF9AE}" pid="6" name="MediaServiceImageTags">
    <vt:lpwstr/>
  </property>
</Properties>
</file>