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BAC8" w14:textId="77777777" w:rsidR="005B4C21" w:rsidRDefault="005B4C21" w:rsidP="005B4C21">
      <w:pPr>
        <w:jc w:val="center"/>
        <w:rPr>
          <w:rFonts w:ascii="Arial" w:hAnsi="Arial" w:cs="Arial"/>
          <w:sz w:val="28"/>
          <w:szCs w:val="28"/>
        </w:rPr>
      </w:pPr>
    </w:p>
    <w:p w14:paraId="56834387" w14:textId="77777777" w:rsidR="005B4C21" w:rsidRDefault="005B4C21" w:rsidP="005B4C21">
      <w:pPr>
        <w:jc w:val="center"/>
        <w:rPr>
          <w:rFonts w:ascii="Arial" w:hAnsi="Arial" w:cs="Arial"/>
          <w:sz w:val="28"/>
          <w:szCs w:val="28"/>
        </w:rPr>
      </w:pPr>
    </w:p>
    <w:p w14:paraId="04C266B7" w14:textId="77777777" w:rsidR="005B4C21" w:rsidRDefault="005B4C21" w:rsidP="005B4C21">
      <w:pPr>
        <w:jc w:val="center"/>
        <w:rPr>
          <w:rFonts w:ascii="Arial" w:hAnsi="Arial" w:cs="Arial"/>
          <w:sz w:val="28"/>
          <w:szCs w:val="28"/>
        </w:rPr>
      </w:pPr>
    </w:p>
    <w:p w14:paraId="30EB37B3" w14:textId="77777777" w:rsidR="005B4C21" w:rsidRDefault="005B4C21" w:rsidP="005B4C21">
      <w:pPr>
        <w:jc w:val="center"/>
        <w:rPr>
          <w:rFonts w:ascii="Arial" w:hAnsi="Arial" w:cs="Arial"/>
          <w:sz w:val="28"/>
          <w:szCs w:val="28"/>
        </w:rPr>
      </w:pPr>
    </w:p>
    <w:p w14:paraId="4AC490DD" w14:textId="77777777" w:rsidR="005B4C21" w:rsidRDefault="005B4C21" w:rsidP="005B4C21">
      <w:pPr>
        <w:jc w:val="center"/>
        <w:rPr>
          <w:rFonts w:ascii="Arial" w:hAnsi="Arial" w:cs="Arial"/>
          <w:sz w:val="28"/>
          <w:szCs w:val="28"/>
        </w:rPr>
      </w:pPr>
    </w:p>
    <w:p w14:paraId="71F64905" w14:textId="77777777" w:rsidR="005B4C21" w:rsidRDefault="005B4C21" w:rsidP="005B4C21">
      <w:pPr>
        <w:jc w:val="center"/>
        <w:rPr>
          <w:rFonts w:ascii="Arial" w:hAnsi="Arial" w:cs="Arial"/>
          <w:sz w:val="28"/>
          <w:szCs w:val="28"/>
        </w:rPr>
      </w:pPr>
    </w:p>
    <w:p w14:paraId="105C43C0" w14:textId="77777777" w:rsidR="005B4C21" w:rsidRDefault="005B4C21" w:rsidP="005B4C21">
      <w:pPr>
        <w:jc w:val="center"/>
        <w:rPr>
          <w:rFonts w:ascii="Arial" w:hAnsi="Arial" w:cs="Arial"/>
          <w:sz w:val="28"/>
          <w:szCs w:val="28"/>
        </w:rPr>
      </w:pPr>
    </w:p>
    <w:p w14:paraId="3E9FC4D6" w14:textId="77777777" w:rsidR="005B4C21" w:rsidRDefault="005B4C21" w:rsidP="005B4C21">
      <w:pPr>
        <w:pStyle w:val="Onlyuseindocheader-categorystyle"/>
        <w:rPr>
          <w:b w:val="0"/>
        </w:rPr>
      </w:pPr>
    </w:p>
    <w:p w14:paraId="124F2667" w14:textId="77777777" w:rsidR="005B4C21" w:rsidRPr="00F4199D" w:rsidRDefault="005B4C21" w:rsidP="005B4C21">
      <w:pPr>
        <w:pStyle w:val="Onlyuseindocheader-categorystyle"/>
        <w:rPr>
          <w:b w:val="0"/>
        </w:rPr>
      </w:pPr>
      <w:r w:rsidRPr="00F4199D">
        <w:rPr>
          <w:b w:val="0"/>
        </w:rPr>
        <mc:AlternateContent>
          <mc:Choice Requires="wps">
            <w:drawing>
              <wp:anchor distT="0" distB="0" distL="114300" distR="114300" simplePos="0" relativeHeight="251658244" behindDoc="0" locked="0" layoutInCell="1" allowOverlap="1" wp14:anchorId="649C316D" wp14:editId="572105BA">
                <wp:simplePos x="0" y="0"/>
                <wp:positionH relativeFrom="column">
                  <wp:posOffset>10160</wp:posOffset>
                </wp:positionH>
                <wp:positionV relativeFrom="paragraph">
                  <wp:posOffset>-122184</wp:posOffset>
                </wp:positionV>
                <wp:extent cx="57175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52A48F" id="Straight Connector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6pt" to="45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" strokecolor="#d8d8d8 [2732]" strokeweight="1pt"/>
            </w:pict>
          </mc:Fallback>
        </mc:AlternateContent>
      </w:r>
    </w:p>
    <w:p w14:paraId="09184413" w14:textId="2C9752EA" w:rsidR="005B4C21" w:rsidRPr="005B4C21" w:rsidRDefault="005B4C21" w:rsidP="005B4C21">
      <w:pPr>
        <w:rPr>
          <w:rFonts w:ascii="Arial" w:hAnsi="Arial" w:cs="Arial"/>
          <w:b/>
          <w:sz w:val="56"/>
          <w:szCs w:val="56"/>
        </w:rPr>
      </w:pPr>
      <w:r w:rsidRPr="005B4C21">
        <w:rPr>
          <w:rFonts w:ascii="Arial" w:hAnsi="Arial" w:cs="Arial"/>
          <w:b/>
          <w:sz w:val="56"/>
          <w:szCs w:val="56"/>
        </w:rPr>
        <w:t>Public Service Reform (Scotland) Act 2010 Disclosures 20</w:t>
      </w:r>
      <w:r w:rsidR="00CB3177">
        <w:rPr>
          <w:rFonts w:ascii="Arial" w:hAnsi="Arial" w:cs="Arial"/>
          <w:b/>
          <w:sz w:val="56"/>
          <w:szCs w:val="56"/>
        </w:rPr>
        <w:t>2</w:t>
      </w:r>
      <w:r w:rsidR="00404A83">
        <w:rPr>
          <w:rFonts w:ascii="Arial" w:hAnsi="Arial" w:cs="Arial"/>
          <w:b/>
          <w:sz w:val="56"/>
          <w:szCs w:val="56"/>
        </w:rPr>
        <w:t>3</w:t>
      </w:r>
      <w:r w:rsidRPr="005B4C21">
        <w:rPr>
          <w:rFonts w:ascii="Arial" w:hAnsi="Arial" w:cs="Arial"/>
          <w:b/>
          <w:sz w:val="56"/>
          <w:szCs w:val="56"/>
        </w:rPr>
        <w:t>-</w:t>
      </w:r>
      <w:r w:rsidR="00BF4BFD">
        <w:rPr>
          <w:rFonts w:ascii="Arial" w:hAnsi="Arial" w:cs="Arial"/>
          <w:b/>
          <w:sz w:val="56"/>
          <w:szCs w:val="56"/>
        </w:rPr>
        <w:t>2</w:t>
      </w:r>
      <w:r w:rsidR="00404A83">
        <w:rPr>
          <w:rFonts w:ascii="Arial" w:hAnsi="Arial" w:cs="Arial"/>
          <w:b/>
          <w:sz w:val="56"/>
          <w:szCs w:val="56"/>
        </w:rPr>
        <w:t>4</w:t>
      </w:r>
    </w:p>
    <w:p w14:paraId="3254C3F7" w14:textId="77777777" w:rsidR="005B4C21" w:rsidRPr="00F4199D" w:rsidRDefault="005B4C21" w:rsidP="005B4C21">
      <w:pPr>
        <w:pStyle w:val="Onlyuseindocheader-subtitleifneeded"/>
        <w:rPr>
          <w:b w:val="0"/>
        </w:rPr>
      </w:pPr>
    </w:p>
    <w:p w14:paraId="78EEA462" w14:textId="77777777" w:rsidR="005B4C21" w:rsidRDefault="005B4C21" w:rsidP="005B4C21">
      <w:r>
        <w:rPr>
          <w:noProof/>
          <w:sz w:val="52"/>
          <w:szCs w:val="52"/>
          <w:lang w:eastAsia="en-GB"/>
        </w:rPr>
        <w:drawing>
          <wp:anchor distT="0" distB="0" distL="114300" distR="114300" simplePos="0" relativeHeight="251658241" behindDoc="1" locked="0" layoutInCell="1" allowOverlap="1" wp14:anchorId="28E59653" wp14:editId="0AC4BB42">
            <wp:simplePos x="0" y="0"/>
            <wp:positionH relativeFrom="column">
              <wp:posOffset>0</wp:posOffset>
            </wp:positionH>
            <wp:positionV relativeFrom="paragraph">
              <wp:posOffset>223358</wp:posOffset>
            </wp:positionV>
            <wp:extent cx="2654300" cy="516255"/>
            <wp:effectExtent l="0" t="0" r="0" b="0"/>
            <wp:wrapNone/>
            <wp:docPr id="13" name="Picture 13" descr="ssc_band_A4 portraitB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c_band_A4 portraitBW300"/>
                    <pic:cNvPicPr>
                      <a:picLocks noChangeAspect="1" noChangeArrowheads="1"/>
                    </pic:cNvPicPr>
                  </pic:nvPicPr>
                  <pic:blipFill>
                    <a:blip r:embed="rId12" cstate="print"/>
                    <a:srcRect l="5573" t="13992" r="48720" b="9053"/>
                    <a:stretch>
                      <a:fillRect/>
                    </a:stretch>
                  </pic:blipFill>
                  <pic:spPr bwMode="auto">
                    <a:xfrm>
                      <a:off x="0" y="0"/>
                      <a:ext cx="2654300" cy="51625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8242" behindDoc="0" locked="0" layoutInCell="1" allowOverlap="1" wp14:anchorId="385082EE" wp14:editId="03BBC7E5">
                <wp:simplePos x="0" y="0"/>
                <wp:positionH relativeFrom="column">
                  <wp:posOffset>0</wp:posOffset>
                </wp:positionH>
                <wp:positionV relativeFrom="paragraph">
                  <wp:posOffset>165100</wp:posOffset>
                </wp:positionV>
                <wp:extent cx="57175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BC7C43"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" strokecolor="#d8d8d8 [2732]" strokeweight="1pt"/>
            </w:pict>
          </mc:Fallback>
        </mc:AlternateContent>
      </w:r>
    </w:p>
    <w:p w14:paraId="762532A4" w14:textId="77777777" w:rsidR="005B4C21" w:rsidRPr="00DD120E" w:rsidRDefault="005B4C21" w:rsidP="005B4C21">
      <w:pPr>
        <w:spacing w:after="480"/>
        <w:jc w:val="both"/>
        <w:rPr>
          <w:sz w:val="52"/>
          <w:szCs w:val="52"/>
        </w:rPr>
      </w:pPr>
      <w:r>
        <w:rPr>
          <w:noProof/>
          <w:sz w:val="52"/>
          <w:szCs w:val="52"/>
          <w:lang w:eastAsia="en-GB"/>
        </w:rPr>
        <w:drawing>
          <wp:anchor distT="0" distB="0" distL="114300" distR="114300" simplePos="0" relativeHeight="251658240" behindDoc="1" locked="0" layoutInCell="1" allowOverlap="1" wp14:anchorId="55F05117" wp14:editId="7F63C255">
            <wp:simplePos x="0" y="0"/>
            <wp:positionH relativeFrom="column">
              <wp:posOffset>3421380</wp:posOffset>
            </wp:positionH>
            <wp:positionV relativeFrom="paragraph">
              <wp:posOffset>-6985</wp:posOffset>
            </wp:positionV>
            <wp:extent cx="2305050" cy="460375"/>
            <wp:effectExtent l="0" t="0" r="0" b="0"/>
            <wp:wrapNone/>
            <wp:docPr id="12" name="Picture 12" descr="ssc_band_A4 portraitB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c_band_A4 portraitBW300"/>
                    <pic:cNvPicPr>
                      <a:picLocks noChangeAspect="1" noChangeArrowheads="1"/>
                    </pic:cNvPicPr>
                  </pic:nvPicPr>
                  <pic:blipFill>
                    <a:blip r:embed="rId13" cstate="print"/>
                    <a:srcRect l="50197" t="13992" r="5286" b="9053"/>
                    <a:stretch>
                      <a:fillRect/>
                    </a:stretch>
                  </pic:blipFill>
                  <pic:spPr bwMode="auto">
                    <a:xfrm>
                      <a:off x="0" y="0"/>
                      <a:ext cx="2305050" cy="46037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8243" behindDoc="0" locked="0" layoutInCell="1" allowOverlap="1" wp14:anchorId="3123350F" wp14:editId="2EB755CB">
                <wp:simplePos x="0" y="0"/>
                <wp:positionH relativeFrom="column">
                  <wp:posOffset>0</wp:posOffset>
                </wp:positionH>
                <wp:positionV relativeFrom="paragraph">
                  <wp:posOffset>472913</wp:posOffset>
                </wp:positionV>
                <wp:extent cx="57175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E2593"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45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" strokecolor="#d8d8d8 [2732]" strokeweight="1pt"/>
            </w:pict>
          </mc:Fallback>
        </mc:AlternateContent>
      </w:r>
    </w:p>
    <w:p w14:paraId="0C14C547" w14:textId="77777777" w:rsidR="005B4C21" w:rsidRDefault="005B4C21" w:rsidP="005B4C21">
      <w:pPr>
        <w:jc w:val="center"/>
        <w:rPr>
          <w:rFonts w:ascii="Arial" w:hAnsi="Arial" w:cs="Arial"/>
          <w:sz w:val="28"/>
          <w:szCs w:val="28"/>
        </w:rPr>
      </w:pPr>
    </w:p>
    <w:p w14:paraId="13E0E679" w14:textId="77777777" w:rsidR="005B4C21" w:rsidRPr="00575DC3" w:rsidRDefault="005B4C21" w:rsidP="005B4C21">
      <w:pPr>
        <w:jc w:val="center"/>
        <w:rPr>
          <w:rFonts w:ascii="Arial" w:hAnsi="Arial" w:cs="Arial"/>
          <w:sz w:val="28"/>
          <w:szCs w:val="28"/>
        </w:rPr>
      </w:pPr>
    </w:p>
    <w:p w14:paraId="35F673D8" w14:textId="77777777" w:rsidR="005B4C21" w:rsidRDefault="005B4C21" w:rsidP="005B4C21">
      <w:pPr>
        <w:jc w:val="center"/>
        <w:rPr>
          <w:rFonts w:ascii="Arial" w:hAnsi="Arial" w:cs="Arial"/>
          <w:b/>
          <w:color w:val="17365D"/>
          <w:sz w:val="40"/>
          <w:szCs w:val="32"/>
        </w:rPr>
      </w:pPr>
    </w:p>
    <w:p w14:paraId="4AE994B5" w14:textId="35550437" w:rsidR="005B4C21" w:rsidRPr="00575DC3" w:rsidRDefault="005B4C21" w:rsidP="009D7CD8">
      <w:pPr>
        <w:tabs>
          <w:tab w:val="left" w:pos="5385"/>
        </w:tabs>
        <w:rPr>
          <w:rFonts w:ascii="Arial" w:hAnsi="Arial" w:cs="Arial"/>
          <w:sz w:val="28"/>
          <w:szCs w:val="28"/>
        </w:rPr>
      </w:pPr>
    </w:p>
    <w:p w14:paraId="7DFACFDF" w14:textId="77777777" w:rsidR="005B4C21" w:rsidRDefault="005B4C21" w:rsidP="005B4C21">
      <w:pPr>
        <w:rPr>
          <w:rFonts w:ascii="Arial" w:hAnsi="Arial" w:cs="Arial"/>
          <w:sz w:val="28"/>
          <w:szCs w:val="28"/>
        </w:rPr>
      </w:pPr>
      <w:r>
        <w:rPr>
          <w:rFonts w:ascii="Arial" w:hAnsi="Arial" w:cs="Arial"/>
          <w:sz w:val="28"/>
          <w:szCs w:val="28"/>
        </w:rPr>
        <w:br w:type="page"/>
      </w:r>
    </w:p>
    <w:p w14:paraId="1A05A256" w14:textId="77777777" w:rsidR="005B4C21" w:rsidRPr="0026551E" w:rsidRDefault="005B4C21" w:rsidP="005B4C21">
      <w:pPr>
        <w:rPr>
          <w:rFonts w:ascii="Arial" w:hAnsi="Arial" w:cs="Arial"/>
          <w:b/>
          <w:color w:val="17365D"/>
          <w:sz w:val="36"/>
          <w:szCs w:val="36"/>
        </w:rPr>
      </w:pPr>
      <w:r w:rsidRPr="0026551E">
        <w:rPr>
          <w:rFonts w:ascii="Arial" w:hAnsi="Arial" w:cs="Arial"/>
          <w:b/>
          <w:color w:val="17365D"/>
          <w:sz w:val="36"/>
          <w:szCs w:val="36"/>
        </w:rPr>
        <w:t>Document Control</w:t>
      </w:r>
    </w:p>
    <w:p w14:paraId="65318EB0" w14:textId="77777777" w:rsidR="005B4C21" w:rsidRPr="0026551E" w:rsidRDefault="005B4C21" w:rsidP="005B4C21">
      <w:pPr>
        <w:rPr>
          <w:rFonts w:ascii="Arial" w:hAnsi="Arial" w:cs="Arial"/>
          <w:b/>
          <w:color w:val="17365D"/>
          <w:sz w:val="36"/>
          <w:szCs w:val="36"/>
        </w:rPr>
      </w:pPr>
    </w:p>
    <w:p w14:paraId="393BE0C9" w14:textId="383F75EA" w:rsidR="005B4C21" w:rsidRPr="0026551E" w:rsidRDefault="005B4C21" w:rsidP="005B4C21">
      <w:pPr>
        <w:rPr>
          <w:rFonts w:ascii="Arial" w:hAnsi="Arial" w:cs="Arial"/>
          <w:b/>
          <w:color w:val="17365D"/>
          <w:sz w:val="36"/>
          <w:szCs w:val="36"/>
        </w:rPr>
      </w:pPr>
      <w:r w:rsidRPr="0026551E">
        <w:rPr>
          <w:rFonts w:ascii="Arial" w:hAnsi="Arial" w:cs="Arial"/>
          <w:b/>
          <w:color w:val="17365D"/>
          <w:sz w:val="36"/>
          <w:szCs w:val="36"/>
        </w:rPr>
        <w:t>Change Record</w:t>
      </w:r>
    </w:p>
    <w:p w14:paraId="492B599C" w14:textId="77777777" w:rsidR="005B4C21" w:rsidRDefault="005B4C21" w:rsidP="005B4C21">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59"/>
        <w:gridCol w:w="1239"/>
        <w:gridCol w:w="3251"/>
      </w:tblGrid>
      <w:tr w:rsidR="005B4C21" w:rsidRPr="0026551E" w14:paraId="054565BF" w14:textId="77777777" w:rsidTr="005947B3">
        <w:tc>
          <w:tcPr>
            <w:tcW w:w="2267" w:type="dxa"/>
            <w:shd w:val="clear" w:color="auto" w:fill="DBE5F1" w:themeFill="accent1" w:themeFillTint="33"/>
          </w:tcPr>
          <w:p w14:paraId="1F19804E" w14:textId="77777777" w:rsidR="005B4C21" w:rsidRPr="005947B3" w:rsidRDefault="005B4C21" w:rsidP="005947B3">
            <w:pPr>
              <w:jc w:val="center"/>
              <w:rPr>
                <w:rFonts w:ascii="Arial" w:hAnsi="Arial" w:cs="Arial"/>
                <w:b/>
                <w:bCs/>
              </w:rPr>
            </w:pPr>
            <w:r w:rsidRPr="005947B3">
              <w:rPr>
                <w:rFonts w:ascii="Arial" w:hAnsi="Arial" w:cs="Arial"/>
                <w:b/>
                <w:bCs/>
              </w:rPr>
              <w:t>Date</w:t>
            </w:r>
          </w:p>
        </w:tc>
        <w:tc>
          <w:tcPr>
            <w:tcW w:w="2259" w:type="dxa"/>
            <w:shd w:val="clear" w:color="auto" w:fill="DBE5F1" w:themeFill="accent1" w:themeFillTint="33"/>
          </w:tcPr>
          <w:p w14:paraId="305BE084" w14:textId="77777777" w:rsidR="005B4C21" w:rsidRPr="005947B3" w:rsidRDefault="005B4C21" w:rsidP="005947B3">
            <w:pPr>
              <w:jc w:val="center"/>
              <w:rPr>
                <w:rFonts w:ascii="Arial" w:hAnsi="Arial" w:cs="Arial"/>
                <w:b/>
                <w:bCs/>
              </w:rPr>
            </w:pPr>
            <w:r w:rsidRPr="005947B3">
              <w:rPr>
                <w:rFonts w:ascii="Arial" w:hAnsi="Arial" w:cs="Arial"/>
                <w:b/>
                <w:bCs/>
              </w:rPr>
              <w:t>Author</w:t>
            </w:r>
          </w:p>
        </w:tc>
        <w:tc>
          <w:tcPr>
            <w:tcW w:w="1239" w:type="dxa"/>
            <w:shd w:val="clear" w:color="auto" w:fill="DBE5F1" w:themeFill="accent1" w:themeFillTint="33"/>
          </w:tcPr>
          <w:p w14:paraId="4FC0F9ED" w14:textId="77777777" w:rsidR="005B4C21" w:rsidRPr="005947B3" w:rsidRDefault="005B4C21" w:rsidP="005947B3">
            <w:pPr>
              <w:jc w:val="center"/>
              <w:rPr>
                <w:rFonts w:ascii="Arial" w:hAnsi="Arial" w:cs="Arial"/>
                <w:b/>
                <w:bCs/>
              </w:rPr>
            </w:pPr>
            <w:r w:rsidRPr="005947B3">
              <w:rPr>
                <w:rFonts w:ascii="Arial" w:hAnsi="Arial" w:cs="Arial"/>
                <w:b/>
                <w:bCs/>
              </w:rPr>
              <w:t>Version</w:t>
            </w:r>
          </w:p>
        </w:tc>
        <w:tc>
          <w:tcPr>
            <w:tcW w:w="3251" w:type="dxa"/>
            <w:shd w:val="clear" w:color="auto" w:fill="DBE5F1" w:themeFill="accent1" w:themeFillTint="33"/>
          </w:tcPr>
          <w:p w14:paraId="3940C7FF" w14:textId="77777777" w:rsidR="005B4C21" w:rsidRPr="005947B3" w:rsidRDefault="005B4C21" w:rsidP="005947B3">
            <w:pPr>
              <w:jc w:val="center"/>
              <w:rPr>
                <w:rFonts w:ascii="Arial" w:hAnsi="Arial" w:cs="Arial"/>
                <w:b/>
                <w:bCs/>
              </w:rPr>
            </w:pPr>
            <w:r w:rsidRPr="005947B3">
              <w:rPr>
                <w:rFonts w:ascii="Arial" w:hAnsi="Arial" w:cs="Arial"/>
                <w:b/>
                <w:bCs/>
              </w:rPr>
              <w:t>Change Reference</w:t>
            </w:r>
          </w:p>
        </w:tc>
      </w:tr>
      <w:tr w:rsidR="005B4C21" w:rsidRPr="0026551E" w14:paraId="13650B23" w14:textId="77777777" w:rsidTr="7CEFE329">
        <w:tc>
          <w:tcPr>
            <w:tcW w:w="2267" w:type="dxa"/>
          </w:tcPr>
          <w:p w14:paraId="525CF746" w14:textId="770DD999" w:rsidR="005B4C21" w:rsidRPr="0026551E" w:rsidRDefault="00404A83" w:rsidP="003B0B53">
            <w:pPr>
              <w:rPr>
                <w:rFonts w:ascii="Arial" w:hAnsi="Arial" w:cs="Arial"/>
              </w:rPr>
            </w:pPr>
            <w:r>
              <w:rPr>
                <w:rFonts w:ascii="Arial" w:hAnsi="Arial" w:cs="Arial"/>
              </w:rPr>
              <w:t>19/12/24</w:t>
            </w:r>
          </w:p>
        </w:tc>
        <w:tc>
          <w:tcPr>
            <w:tcW w:w="2259" w:type="dxa"/>
          </w:tcPr>
          <w:p w14:paraId="53871CAF" w14:textId="33E8ACA0" w:rsidR="005B4C21" w:rsidRPr="0026551E" w:rsidRDefault="00DB2525" w:rsidP="003B0B53">
            <w:pPr>
              <w:rPr>
                <w:rFonts w:ascii="Arial" w:hAnsi="Arial" w:cs="Arial"/>
              </w:rPr>
            </w:pPr>
            <w:r>
              <w:rPr>
                <w:rFonts w:ascii="Arial" w:hAnsi="Arial" w:cs="Arial"/>
              </w:rPr>
              <w:t>Simon Taaffe</w:t>
            </w:r>
          </w:p>
        </w:tc>
        <w:tc>
          <w:tcPr>
            <w:tcW w:w="1239" w:type="dxa"/>
          </w:tcPr>
          <w:p w14:paraId="016440C4" w14:textId="77777777" w:rsidR="005B4C21" w:rsidRPr="0026551E" w:rsidRDefault="005B4C21" w:rsidP="003B0B53">
            <w:pPr>
              <w:rPr>
                <w:rFonts w:ascii="Arial" w:hAnsi="Arial" w:cs="Arial"/>
              </w:rPr>
            </w:pPr>
            <w:r>
              <w:rPr>
                <w:rFonts w:ascii="Arial" w:hAnsi="Arial" w:cs="Arial"/>
              </w:rPr>
              <w:t>0.1 draft</w:t>
            </w:r>
          </w:p>
        </w:tc>
        <w:tc>
          <w:tcPr>
            <w:tcW w:w="3251" w:type="dxa"/>
          </w:tcPr>
          <w:p w14:paraId="7E1554D9" w14:textId="77777777" w:rsidR="005B4C21" w:rsidRPr="0026551E" w:rsidRDefault="005B4C21" w:rsidP="003B0B53">
            <w:pPr>
              <w:rPr>
                <w:rFonts w:ascii="Arial" w:hAnsi="Arial" w:cs="Arial"/>
              </w:rPr>
            </w:pPr>
          </w:p>
        </w:tc>
      </w:tr>
      <w:tr w:rsidR="005B4C21" w:rsidRPr="0026551E" w14:paraId="6037A5E9" w14:textId="77777777" w:rsidTr="007726CE">
        <w:tc>
          <w:tcPr>
            <w:tcW w:w="2267" w:type="dxa"/>
          </w:tcPr>
          <w:p w14:paraId="2668F7F0" w14:textId="6961AB8E" w:rsidR="005B4C21" w:rsidRDefault="005B4C21" w:rsidP="003B0B53">
            <w:pPr>
              <w:rPr>
                <w:rFonts w:ascii="Arial" w:hAnsi="Arial" w:cs="Arial"/>
              </w:rPr>
            </w:pPr>
          </w:p>
        </w:tc>
        <w:tc>
          <w:tcPr>
            <w:tcW w:w="2259" w:type="dxa"/>
          </w:tcPr>
          <w:p w14:paraId="23FC6AD6" w14:textId="462DD074" w:rsidR="005B4C21" w:rsidRDefault="00934FE8" w:rsidP="003B0B53">
            <w:pPr>
              <w:rPr>
                <w:rFonts w:ascii="Arial" w:hAnsi="Arial" w:cs="Arial"/>
              </w:rPr>
            </w:pPr>
            <w:r>
              <w:rPr>
                <w:rFonts w:ascii="Arial" w:hAnsi="Arial" w:cs="Arial"/>
              </w:rPr>
              <w:t>Simon Taaffe</w:t>
            </w:r>
          </w:p>
        </w:tc>
        <w:tc>
          <w:tcPr>
            <w:tcW w:w="1239" w:type="dxa"/>
          </w:tcPr>
          <w:p w14:paraId="259B5382" w14:textId="35EEC293" w:rsidR="005B4C21" w:rsidRDefault="00F872E1" w:rsidP="003B0B53">
            <w:pPr>
              <w:rPr>
                <w:rFonts w:ascii="Arial" w:hAnsi="Arial" w:cs="Arial"/>
              </w:rPr>
            </w:pPr>
            <w:r>
              <w:rPr>
                <w:rFonts w:ascii="Arial" w:hAnsi="Arial" w:cs="Arial"/>
              </w:rPr>
              <w:t>0.2</w:t>
            </w:r>
          </w:p>
        </w:tc>
        <w:tc>
          <w:tcPr>
            <w:tcW w:w="3251" w:type="dxa"/>
            <w:shd w:val="clear" w:color="auto" w:fill="auto"/>
          </w:tcPr>
          <w:p w14:paraId="52DF6BCE" w14:textId="62FF52DB" w:rsidR="005B4C21" w:rsidRDefault="00AB77BF" w:rsidP="003B0B53">
            <w:pPr>
              <w:rPr>
                <w:rFonts w:ascii="Arial" w:hAnsi="Arial" w:cs="Arial"/>
              </w:rPr>
            </w:pPr>
            <w:r w:rsidRPr="00934FE8">
              <w:rPr>
                <w:rFonts w:ascii="Arial" w:hAnsi="Arial" w:cs="Arial"/>
              </w:rPr>
              <w:t xml:space="preserve">Updated following review by </w:t>
            </w:r>
            <w:r w:rsidR="00B1203A">
              <w:rPr>
                <w:rFonts w:ascii="Arial" w:hAnsi="Arial" w:cs="Arial"/>
              </w:rPr>
              <w:t>Mark Drummond</w:t>
            </w:r>
            <w:r w:rsidR="00F872E1" w:rsidRPr="007726CE">
              <w:rPr>
                <w:rFonts w:ascii="Arial" w:hAnsi="Arial" w:cs="Arial"/>
              </w:rPr>
              <w:t>, Head of Finance and Governance</w:t>
            </w:r>
            <w:r w:rsidRPr="007726CE">
              <w:rPr>
                <w:rFonts w:ascii="Arial" w:hAnsi="Arial" w:cs="Arial"/>
              </w:rPr>
              <w:t xml:space="preserve"> </w:t>
            </w:r>
          </w:p>
        </w:tc>
      </w:tr>
      <w:tr w:rsidR="00205107" w:rsidRPr="0026551E" w14:paraId="01146808" w14:textId="77777777" w:rsidTr="7CEFE329">
        <w:tc>
          <w:tcPr>
            <w:tcW w:w="2267" w:type="dxa"/>
          </w:tcPr>
          <w:p w14:paraId="6790AE8C" w14:textId="781A8774" w:rsidR="00205107" w:rsidRDefault="00205107" w:rsidP="003B0B53">
            <w:pPr>
              <w:rPr>
                <w:rFonts w:ascii="Arial" w:hAnsi="Arial" w:cs="Arial"/>
              </w:rPr>
            </w:pPr>
          </w:p>
        </w:tc>
        <w:tc>
          <w:tcPr>
            <w:tcW w:w="2259" w:type="dxa"/>
          </w:tcPr>
          <w:p w14:paraId="348521ED" w14:textId="57EE3AFF" w:rsidR="00205107" w:rsidRDefault="00205107" w:rsidP="003B0B53">
            <w:pPr>
              <w:rPr>
                <w:rFonts w:ascii="Arial" w:hAnsi="Arial" w:cs="Arial"/>
              </w:rPr>
            </w:pPr>
            <w:r>
              <w:rPr>
                <w:rFonts w:ascii="Arial" w:hAnsi="Arial" w:cs="Arial"/>
              </w:rPr>
              <w:t>Simon Taaffe</w:t>
            </w:r>
          </w:p>
        </w:tc>
        <w:tc>
          <w:tcPr>
            <w:tcW w:w="1239" w:type="dxa"/>
          </w:tcPr>
          <w:p w14:paraId="72735E9B" w14:textId="4B5B6851" w:rsidR="00205107" w:rsidRDefault="00205107" w:rsidP="003B0B53">
            <w:pPr>
              <w:rPr>
                <w:rFonts w:ascii="Arial" w:hAnsi="Arial" w:cs="Arial"/>
              </w:rPr>
            </w:pPr>
            <w:r>
              <w:rPr>
                <w:rFonts w:ascii="Arial" w:hAnsi="Arial" w:cs="Arial"/>
              </w:rPr>
              <w:t>1.0</w:t>
            </w:r>
          </w:p>
        </w:tc>
        <w:tc>
          <w:tcPr>
            <w:tcW w:w="3251" w:type="dxa"/>
          </w:tcPr>
          <w:p w14:paraId="4F015486" w14:textId="55633FF2" w:rsidR="00205107" w:rsidRPr="00DB2525" w:rsidRDefault="006D3AC8" w:rsidP="003B0B53">
            <w:pPr>
              <w:rPr>
                <w:rFonts w:ascii="Arial" w:hAnsi="Arial" w:cs="Arial"/>
                <w:highlight w:val="yellow"/>
              </w:rPr>
            </w:pPr>
            <w:r w:rsidRPr="003004E9">
              <w:rPr>
                <w:rFonts w:ascii="Arial" w:hAnsi="Arial" w:cs="Arial"/>
              </w:rPr>
              <w:t xml:space="preserve">Approved </w:t>
            </w:r>
            <w:r w:rsidR="00205107" w:rsidRPr="003004E9">
              <w:rPr>
                <w:rFonts w:ascii="Arial" w:hAnsi="Arial" w:cs="Arial"/>
              </w:rPr>
              <w:t>by Rachel Barrington, Director of Operations</w:t>
            </w:r>
          </w:p>
        </w:tc>
      </w:tr>
    </w:tbl>
    <w:p w14:paraId="51E4C0F2" w14:textId="77777777" w:rsidR="005B4C21" w:rsidRDefault="005B4C21" w:rsidP="005B4C21">
      <w:pPr>
        <w:rPr>
          <w:rFonts w:ascii="Arial" w:hAnsi="Arial"/>
          <w:b/>
          <w:sz w:val="32"/>
          <w:szCs w:val="20"/>
        </w:rPr>
      </w:pPr>
      <w:r>
        <w:br w:type="page"/>
      </w:r>
    </w:p>
    <w:p w14:paraId="4FCAF3EE" w14:textId="77777777" w:rsidR="005B4C21" w:rsidRPr="00420175" w:rsidRDefault="005B4C21" w:rsidP="005B4C21">
      <w:pPr>
        <w:pStyle w:val="Intro"/>
        <w:spacing w:before="400"/>
        <w:rPr>
          <w:sz w:val="36"/>
          <w:szCs w:val="36"/>
        </w:rPr>
      </w:pPr>
      <w:r w:rsidRPr="00420175">
        <w:rPr>
          <w:sz w:val="36"/>
          <w:szCs w:val="36"/>
        </w:rPr>
        <w:t>Contents</w:t>
      </w:r>
    </w:p>
    <w:p w14:paraId="37FCE081" w14:textId="77777777" w:rsidR="005B4C21" w:rsidRDefault="005B4C21" w:rsidP="005B4C21"/>
    <w:p w14:paraId="7B3D960B" w14:textId="77777777" w:rsidR="005B4C21" w:rsidRDefault="005B4C21" w:rsidP="005B4C21">
      <w:pPr>
        <w:rPr>
          <w:rFonts w:ascii="Arial" w:hAnsi="Arial" w:cs="Arial"/>
          <w:sz w:val="28"/>
          <w:szCs w:val="28"/>
        </w:rPr>
      </w:pPr>
    </w:p>
    <w:p w14:paraId="04B21464" w14:textId="77777777" w:rsidR="005B4C21" w:rsidRDefault="005B4C21" w:rsidP="005B4C21">
      <w:pPr>
        <w:rPr>
          <w:rFonts w:ascii="Arial" w:hAnsi="Arial" w:cs="Arial"/>
          <w:sz w:val="28"/>
          <w:szCs w:val="28"/>
        </w:rPr>
      </w:pPr>
    </w:p>
    <w:p w14:paraId="3EC5057D" w14:textId="77777777" w:rsidR="005B4C21" w:rsidRDefault="005B4C21" w:rsidP="005B4C21">
      <w:pPr>
        <w:rPr>
          <w:rFonts w:ascii="Arial" w:hAnsi="Arial" w:cs="Arial"/>
          <w:sz w:val="28"/>
          <w:szCs w:val="28"/>
        </w:rPr>
      </w:pPr>
    </w:p>
    <w:p w14:paraId="277058FD" w14:textId="77777777" w:rsidR="005B4C21" w:rsidRDefault="005B4C21" w:rsidP="005B4C21">
      <w:pPr>
        <w:tabs>
          <w:tab w:val="left" w:pos="7938"/>
        </w:tabs>
        <w:rPr>
          <w:rFonts w:ascii="Arial" w:hAnsi="Arial" w:cs="Arial"/>
          <w:sz w:val="28"/>
          <w:szCs w:val="28"/>
        </w:rPr>
      </w:pPr>
      <w:r>
        <w:rPr>
          <w:rFonts w:ascii="Arial" w:hAnsi="Arial" w:cs="Arial"/>
          <w:sz w:val="28"/>
          <w:szCs w:val="28"/>
        </w:rPr>
        <w:t>Section 1 Introduction</w:t>
      </w:r>
      <w:r>
        <w:rPr>
          <w:rFonts w:ascii="Arial" w:hAnsi="Arial" w:cs="Arial"/>
          <w:sz w:val="28"/>
          <w:szCs w:val="28"/>
        </w:rPr>
        <w:tab/>
        <w:t>Page 4</w:t>
      </w:r>
    </w:p>
    <w:p w14:paraId="1C12ADD1" w14:textId="77777777" w:rsidR="005B4C21" w:rsidRDefault="005B4C21" w:rsidP="005B4C21">
      <w:pPr>
        <w:tabs>
          <w:tab w:val="left" w:pos="7938"/>
        </w:tabs>
        <w:rPr>
          <w:rFonts w:ascii="Arial" w:hAnsi="Arial" w:cs="Arial"/>
          <w:sz w:val="28"/>
          <w:szCs w:val="28"/>
        </w:rPr>
      </w:pPr>
    </w:p>
    <w:p w14:paraId="13A2DE7B" w14:textId="77777777" w:rsidR="005B4C21" w:rsidRDefault="005B4C21" w:rsidP="005B4C21">
      <w:pPr>
        <w:tabs>
          <w:tab w:val="left" w:pos="7938"/>
        </w:tabs>
        <w:rPr>
          <w:rFonts w:ascii="Arial" w:hAnsi="Arial" w:cs="Arial"/>
          <w:sz w:val="28"/>
          <w:szCs w:val="28"/>
        </w:rPr>
      </w:pPr>
    </w:p>
    <w:p w14:paraId="6A3DC6F5" w14:textId="5E7CB136" w:rsidR="005B4C21" w:rsidRDefault="005B4C21" w:rsidP="005B4C21">
      <w:pPr>
        <w:tabs>
          <w:tab w:val="left" w:pos="7938"/>
        </w:tabs>
        <w:rPr>
          <w:rFonts w:ascii="Arial" w:hAnsi="Arial" w:cs="Arial"/>
          <w:sz w:val="28"/>
          <w:szCs w:val="28"/>
        </w:rPr>
      </w:pPr>
      <w:r>
        <w:rPr>
          <w:rFonts w:ascii="Arial" w:hAnsi="Arial" w:cs="Arial"/>
          <w:sz w:val="28"/>
          <w:szCs w:val="28"/>
        </w:rPr>
        <w:t>Section 2 Disclosures</w:t>
      </w:r>
      <w:r>
        <w:rPr>
          <w:rFonts w:ascii="Arial" w:hAnsi="Arial" w:cs="Arial"/>
          <w:sz w:val="28"/>
          <w:szCs w:val="28"/>
        </w:rPr>
        <w:tab/>
        <w:t>Page 4</w:t>
      </w:r>
    </w:p>
    <w:p w14:paraId="5F06A0A2" w14:textId="77777777" w:rsidR="005B4C21" w:rsidRDefault="005B4C21" w:rsidP="005B4C21">
      <w:pPr>
        <w:tabs>
          <w:tab w:val="left" w:pos="7938"/>
        </w:tabs>
        <w:rPr>
          <w:rFonts w:ascii="Arial" w:hAnsi="Arial" w:cs="Arial"/>
          <w:sz w:val="28"/>
          <w:szCs w:val="28"/>
        </w:rPr>
      </w:pPr>
    </w:p>
    <w:p w14:paraId="1C4D5BD1" w14:textId="77777777" w:rsidR="005B4C21" w:rsidRDefault="005B4C21" w:rsidP="005B4C21">
      <w:pPr>
        <w:tabs>
          <w:tab w:val="left" w:pos="7938"/>
        </w:tabs>
        <w:rPr>
          <w:rFonts w:ascii="Arial" w:hAnsi="Arial" w:cs="Arial"/>
          <w:sz w:val="28"/>
          <w:szCs w:val="28"/>
        </w:rPr>
      </w:pPr>
    </w:p>
    <w:p w14:paraId="5EC82928" w14:textId="5EF0B3B0" w:rsidR="005B4C21" w:rsidRDefault="005B4C21" w:rsidP="005B4C21">
      <w:pPr>
        <w:tabs>
          <w:tab w:val="left" w:pos="7938"/>
        </w:tabs>
        <w:rPr>
          <w:rFonts w:ascii="Arial" w:hAnsi="Arial" w:cs="Arial"/>
          <w:sz w:val="28"/>
          <w:szCs w:val="28"/>
        </w:rPr>
      </w:pPr>
      <w:r>
        <w:rPr>
          <w:rFonts w:ascii="Arial" w:hAnsi="Arial" w:cs="Arial"/>
          <w:sz w:val="28"/>
          <w:szCs w:val="28"/>
        </w:rPr>
        <w:t>Section 3 Payments in Excess of £25,000</w:t>
      </w:r>
      <w:r>
        <w:rPr>
          <w:rFonts w:ascii="Arial" w:hAnsi="Arial" w:cs="Arial"/>
          <w:sz w:val="28"/>
          <w:szCs w:val="28"/>
        </w:rPr>
        <w:tab/>
        <w:t>Page 5</w:t>
      </w:r>
    </w:p>
    <w:p w14:paraId="3FDFC144" w14:textId="77777777" w:rsidR="005B4C21" w:rsidRDefault="005B4C21" w:rsidP="005B4C21">
      <w:pPr>
        <w:tabs>
          <w:tab w:val="left" w:pos="7938"/>
        </w:tabs>
        <w:rPr>
          <w:rFonts w:ascii="Arial" w:hAnsi="Arial" w:cs="Arial"/>
          <w:sz w:val="28"/>
          <w:szCs w:val="28"/>
        </w:rPr>
      </w:pPr>
    </w:p>
    <w:p w14:paraId="06063076" w14:textId="77777777" w:rsidR="005B4C21" w:rsidRDefault="005B4C21" w:rsidP="005B4C21">
      <w:pPr>
        <w:tabs>
          <w:tab w:val="left" w:pos="7938"/>
        </w:tabs>
        <w:rPr>
          <w:rFonts w:ascii="Arial" w:hAnsi="Arial" w:cs="Arial"/>
          <w:sz w:val="28"/>
          <w:szCs w:val="28"/>
        </w:rPr>
      </w:pPr>
    </w:p>
    <w:p w14:paraId="367DE1C7" w14:textId="2999A953" w:rsidR="005B4C21" w:rsidRDefault="005B4C21" w:rsidP="005B4C21">
      <w:pPr>
        <w:tabs>
          <w:tab w:val="left" w:pos="7938"/>
        </w:tabs>
        <w:rPr>
          <w:rFonts w:ascii="Arial" w:hAnsi="Arial" w:cs="Arial"/>
          <w:sz w:val="28"/>
          <w:szCs w:val="28"/>
        </w:rPr>
      </w:pPr>
      <w:r>
        <w:rPr>
          <w:rFonts w:ascii="Arial" w:hAnsi="Arial" w:cs="Arial"/>
          <w:sz w:val="28"/>
          <w:szCs w:val="28"/>
        </w:rPr>
        <w:t>Section 4 Staff earning over £150,000</w:t>
      </w:r>
      <w:r>
        <w:rPr>
          <w:rFonts w:ascii="Arial" w:hAnsi="Arial" w:cs="Arial"/>
          <w:sz w:val="28"/>
          <w:szCs w:val="28"/>
        </w:rPr>
        <w:tab/>
        <w:t>Page 5</w:t>
      </w:r>
    </w:p>
    <w:p w14:paraId="164B7101" w14:textId="77777777" w:rsidR="005B4C21" w:rsidRDefault="005B4C21" w:rsidP="005B4C21">
      <w:pPr>
        <w:tabs>
          <w:tab w:val="left" w:pos="7938"/>
        </w:tabs>
        <w:rPr>
          <w:rFonts w:ascii="Arial" w:hAnsi="Arial" w:cs="Arial"/>
          <w:sz w:val="28"/>
          <w:szCs w:val="28"/>
        </w:rPr>
      </w:pPr>
    </w:p>
    <w:p w14:paraId="673AE171" w14:textId="77777777" w:rsidR="005B4C21" w:rsidRDefault="005B4C21" w:rsidP="005B4C21">
      <w:pPr>
        <w:tabs>
          <w:tab w:val="left" w:pos="7938"/>
        </w:tabs>
        <w:rPr>
          <w:rFonts w:ascii="Arial" w:hAnsi="Arial" w:cs="Arial"/>
          <w:sz w:val="28"/>
          <w:szCs w:val="28"/>
        </w:rPr>
      </w:pPr>
    </w:p>
    <w:p w14:paraId="58E7A116" w14:textId="1E5F4EFD" w:rsidR="005B4C21" w:rsidRDefault="005B4C21" w:rsidP="005B4C21">
      <w:pPr>
        <w:tabs>
          <w:tab w:val="left" w:pos="7938"/>
        </w:tabs>
        <w:rPr>
          <w:rFonts w:ascii="Arial" w:hAnsi="Arial" w:cs="Arial"/>
          <w:sz w:val="28"/>
          <w:szCs w:val="28"/>
        </w:rPr>
      </w:pPr>
      <w:r>
        <w:rPr>
          <w:rFonts w:ascii="Arial" w:hAnsi="Arial" w:cs="Arial"/>
          <w:sz w:val="28"/>
          <w:szCs w:val="28"/>
        </w:rPr>
        <w:t>Section 5 Statement on Sustainable Growth</w:t>
      </w:r>
      <w:r>
        <w:rPr>
          <w:rFonts w:ascii="Arial" w:hAnsi="Arial" w:cs="Arial"/>
          <w:sz w:val="28"/>
          <w:szCs w:val="28"/>
        </w:rPr>
        <w:tab/>
        <w:t>Page 5</w:t>
      </w:r>
    </w:p>
    <w:p w14:paraId="491BBE8E" w14:textId="77777777" w:rsidR="005B4C21" w:rsidRDefault="005B4C21" w:rsidP="005B4C21">
      <w:pPr>
        <w:tabs>
          <w:tab w:val="left" w:pos="7938"/>
        </w:tabs>
        <w:rPr>
          <w:rFonts w:ascii="Arial" w:hAnsi="Arial" w:cs="Arial"/>
          <w:sz w:val="28"/>
          <w:szCs w:val="28"/>
        </w:rPr>
      </w:pPr>
    </w:p>
    <w:p w14:paraId="486A2733" w14:textId="77777777" w:rsidR="005B4C21" w:rsidRDefault="005B4C21" w:rsidP="005B4C21">
      <w:pPr>
        <w:tabs>
          <w:tab w:val="left" w:pos="7938"/>
        </w:tabs>
        <w:rPr>
          <w:rFonts w:ascii="Arial" w:hAnsi="Arial" w:cs="Arial"/>
          <w:sz w:val="28"/>
          <w:szCs w:val="28"/>
        </w:rPr>
      </w:pPr>
    </w:p>
    <w:p w14:paraId="2B6EB2A9" w14:textId="7B6B5168" w:rsidR="005B4C21" w:rsidRDefault="005B4C21" w:rsidP="005B4C21">
      <w:pPr>
        <w:tabs>
          <w:tab w:val="left" w:pos="7938"/>
        </w:tabs>
        <w:rPr>
          <w:rFonts w:ascii="Arial" w:hAnsi="Arial" w:cs="Arial"/>
          <w:sz w:val="28"/>
          <w:szCs w:val="28"/>
        </w:rPr>
      </w:pPr>
      <w:r>
        <w:rPr>
          <w:rFonts w:ascii="Arial" w:hAnsi="Arial" w:cs="Arial"/>
          <w:sz w:val="28"/>
          <w:szCs w:val="28"/>
        </w:rPr>
        <w:t>Section 6 Efficiency Statement</w:t>
      </w:r>
      <w:r>
        <w:rPr>
          <w:rFonts w:ascii="Arial" w:hAnsi="Arial" w:cs="Arial"/>
          <w:sz w:val="28"/>
          <w:szCs w:val="28"/>
        </w:rPr>
        <w:tab/>
        <w:t xml:space="preserve">Page </w:t>
      </w:r>
      <w:r w:rsidR="00D5245F">
        <w:rPr>
          <w:rFonts w:ascii="Arial" w:hAnsi="Arial" w:cs="Arial"/>
          <w:sz w:val="28"/>
          <w:szCs w:val="28"/>
        </w:rPr>
        <w:t>9</w:t>
      </w:r>
    </w:p>
    <w:p w14:paraId="3D18D394" w14:textId="246ECD95" w:rsidR="005B4C21" w:rsidRDefault="005B4C21" w:rsidP="005B4C21">
      <w:pPr>
        <w:tabs>
          <w:tab w:val="left" w:pos="7938"/>
          <w:tab w:val="left" w:pos="8203"/>
        </w:tabs>
        <w:rPr>
          <w:rFonts w:ascii="Arial" w:hAnsi="Arial" w:cs="Arial"/>
          <w:sz w:val="28"/>
          <w:szCs w:val="28"/>
        </w:rPr>
      </w:pPr>
    </w:p>
    <w:p w14:paraId="49D1A2D9" w14:textId="77777777" w:rsidR="005B4C21" w:rsidRDefault="005B4C21" w:rsidP="005B4C21">
      <w:pPr>
        <w:tabs>
          <w:tab w:val="left" w:pos="7938"/>
          <w:tab w:val="left" w:pos="8203"/>
        </w:tabs>
        <w:rPr>
          <w:rFonts w:ascii="Arial" w:hAnsi="Arial" w:cs="Arial"/>
          <w:sz w:val="28"/>
          <w:szCs w:val="28"/>
        </w:rPr>
      </w:pPr>
    </w:p>
    <w:p w14:paraId="725DCEA6" w14:textId="304960DA" w:rsidR="005B4C21" w:rsidRPr="005B4C21" w:rsidRDefault="005B4C21" w:rsidP="005B4C21">
      <w:pPr>
        <w:spacing w:after="160" w:line="259" w:lineRule="auto"/>
        <w:rPr>
          <w:rFonts w:ascii="Arial" w:hAnsi="Arial" w:cs="Arial"/>
          <w:sz w:val="28"/>
          <w:szCs w:val="28"/>
        </w:rPr>
      </w:pPr>
      <w:r>
        <w:rPr>
          <w:rFonts w:cs="Arial"/>
          <w:b/>
          <w:sz w:val="28"/>
          <w:szCs w:val="28"/>
        </w:rPr>
        <w:br w:type="page"/>
      </w:r>
    </w:p>
    <w:p w14:paraId="2A2F78C7" w14:textId="5BD41606" w:rsidR="00ED4203" w:rsidRPr="00E90651" w:rsidRDefault="00E90651">
      <w:pPr>
        <w:rPr>
          <w:sz w:val="32"/>
          <w:szCs w:val="32"/>
        </w:rPr>
      </w:pPr>
      <w:r w:rsidRPr="00E90651">
        <w:rPr>
          <w:b/>
          <w:sz w:val="32"/>
          <w:szCs w:val="32"/>
        </w:rPr>
        <w:t>sport</w:t>
      </w:r>
      <w:r w:rsidRPr="00E90651">
        <w:rPr>
          <w:sz w:val="32"/>
          <w:szCs w:val="32"/>
        </w:rPr>
        <w:t>scotland</w:t>
      </w:r>
    </w:p>
    <w:p w14:paraId="00AD0CE6" w14:textId="4CDD626B" w:rsidR="00E90651" w:rsidRPr="006A6997" w:rsidRDefault="00E90651">
      <w:pPr>
        <w:rPr>
          <w:sz w:val="32"/>
          <w:szCs w:val="32"/>
        </w:rPr>
      </w:pPr>
      <w:r w:rsidRPr="00E90651">
        <w:rPr>
          <w:sz w:val="32"/>
          <w:szCs w:val="32"/>
        </w:rPr>
        <w:t>Public Service Reform (Scotlan</w:t>
      </w:r>
      <w:r w:rsidR="006A6997">
        <w:rPr>
          <w:sz w:val="32"/>
          <w:szCs w:val="32"/>
        </w:rPr>
        <w:t>d) Act 2010 Disclosures 20</w:t>
      </w:r>
      <w:r w:rsidR="00CB3177">
        <w:rPr>
          <w:sz w:val="32"/>
          <w:szCs w:val="32"/>
        </w:rPr>
        <w:t>2</w:t>
      </w:r>
      <w:r w:rsidR="00D75A8C">
        <w:rPr>
          <w:sz w:val="32"/>
          <w:szCs w:val="32"/>
        </w:rPr>
        <w:t>3</w:t>
      </w:r>
      <w:r w:rsidR="00BF4BFD">
        <w:rPr>
          <w:sz w:val="32"/>
          <w:szCs w:val="32"/>
        </w:rPr>
        <w:t>-2</w:t>
      </w:r>
      <w:r w:rsidR="00D75A8C">
        <w:rPr>
          <w:sz w:val="32"/>
          <w:szCs w:val="32"/>
        </w:rPr>
        <w:t>4</w:t>
      </w:r>
    </w:p>
    <w:p w14:paraId="09D49439" w14:textId="77777777" w:rsidR="00E90651" w:rsidRPr="00B47C78" w:rsidRDefault="00E90651" w:rsidP="00E90651">
      <w:pPr>
        <w:pStyle w:val="ListParagraph"/>
        <w:numPr>
          <w:ilvl w:val="0"/>
          <w:numId w:val="1"/>
        </w:numPr>
        <w:rPr>
          <w:b/>
        </w:rPr>
      </w:pPr>
      <w:r w:rsidRPr="00B47C78">
        <w:rPr>
          <w:b/>
        </w:rPr>
        <w:t>Introduction</w:t>
      </w:r>
    </w:p>
    <w:p w14:paraId="3B46F8D2" w14:textId="77777777" w:rsidR="00E90651" w:rsidRDefault="00E90651" w:rsidP="00E90651">
      <w:pPr>
        <w:pStyle w:val="ListParagraph"/>
      </w:pPr>
    </w:p>
    <w:p w14:paraId="2CC4526A" w14:textId="77777777" w:rsidR="00E90651" w:rsidRDefault="00E90651" w:rsidP="00806012">
      <w:pPr>
        <w:pStyle w:val="ListParagraph"/>
        <w:numPr>
          <w:ilvl w:val="1"/>
          <w:numId w:val="1"/>
        </w:numPr>
        <w:jc w:val="both"/>
      </w:pPr>
      <w:r>
        <w:t>The Public Services Reform (Scotland) Act 2010 introduced duties to publish information for public bodies in Scotland.</w:t>
      </w:r>
    </w:p>
    <w:p w14:paraId="73EAA75D" w14:textId="77777777" w:rsidR="003F1246" w:rsidRDefault="003F1246" w:rsidP="003F1246">
      <w:pPr>
        <w:pStyle w:val="ListParagraph"/>
        <w:ind w:left="735"/>
        <w:jc w:val="both"/>
      </w:pPr>
    </w:p>
    <w:p w14:paraId="029A7EA2" w14:textId="0E1ABBA9" w:rsidR="00E90651" w:rsidRDefault="00E90651" w:rsidP="00806012">
      <w:pPr>
        <w:pStyle w:val="ListParagraph"/>
        <w:numPr>
          <w:ilvl w:val="1"/>
          <w:numId w:val="1"/>
        </w:numPr>
        <w:jc w:val="both"/>
      </w:pPr>
      <w:r>
        <w:t xml:space="preserve">This report summarises the information required to be disclosed by the Act in relation to </w:t>
      </w:r>
      <w:r w:rsidRPr="00E90651">
        <w:rPr>
          <w:b/>
        </w:rPr>
        <w:t>sport</w:t>
      </w:r>
      <w:r>
        <w:t xml:space="preserve">scotland and the </w:t>
      </w:r>
      <w:r w:rsidRPr="00E90651">
        <w:rPr>
          <w:b/>
        </w:rPr>
        <w:t>sport</w:t>
      </w:r>
      <w:r>
        <w:t>scotland National Lottery Distribution Fund for the financial year ended 31 March 20</w:t>
      </w:r>
      <w:r w:rsidR="00BF4BFD">
        <w:t>2</w:t>
      </w:r>
      <w:r w:rsidR="00655EE5">
        <w:t>4</w:t>
      </w:r>
      <w:r w:rsidR="00BF4BFD">
        <w:t>.</w:t>
      </w:r>
    </w:p>
    <w:p w14:paraId="7BF8C352" w14:textId="77777777" w:rsidR="00E90651" w:rsidRDefault="00E90651" w:rsidP="00E90651">
      <w:pPr>
        <w:pStyle w:val="ListParagraph"/>
      </w:pPr>
    </w:p>
    <w:p w14:paraId="116A2305" w14:textId="77777777" w:rsidR="00E90651" w:rsidRPr="00B47C78" w:rsidRDefault="00E90651" w:rsidP="00E90651">
      <w:pPr>
        <w:pStyle w:val="ListParagraph"/>
        <w:numPr>
          <w:ilvl w:val="0"/>
          <w:numId w:val="1"/>
        </w:numPr>
        <w:rPr>
          <w:b/>
        </w:rPr>
      </w:pPr>
      <w:r w:rsidRPr="00B47C78">
        <w:rPr>
          <w:b/>
        </w:rPr>
        <w:t>Disclosures</w:t>
      </w:r>
    </w:p>
    <w:tbl>
      <w:tblPr>
        <w:tblStyle w:val="TableGrid"/>
        <w:tblW w:w="0" w:type="auto"/>
        <w:tblLook w:val="04A0" w:firstRow="1" w:lastRow="0" w:firstColumn="1" w:lastColumn="0" w:noHBand="0" w:noVBand="1"/>
      </w:tblPr>
      <w:tblGrid>
        <w:gridCol w:w="1795"/>
        <w:gridCol w:w="2365"/>
        <w:gridCol w:w="4856"/>
      </w:tblGrid>
      <w:tr w:rsidR="00E90651" w:rsidRPr="00B47C78" w14:paraId="1E2E0514" w14:textId="77777777" w:rsidTr="00811674">
        <w:trPr>
          <w:trHeight w:val="433"/>
        </w:trPr>
        <w:tc>
          <w:tcPr>
            <w:tcW w:w="1809" w:type="dxa"/>
            <w:shd w:val="clear" w:color="auto" w:fill="DBE5F1" w:themeFill="accent1" w:themeFillTint="33"/>
          </w:tcPr>
          <w:p w14:paraId="2FCE3562" w14:textId="77777777" w:rsidR="00E90651" w:rsidRPr="00B47C78" w:rsidRDefault="00E90651" w:rsidP="00EB0B2A">
            <w:pPr>
              <w:jc w:val="center"/>
              <w:rPr>
                <w:b/>
              </w:rPr>
            </w:pPr>
            <w:r w:rsidRPr="00B47C78">
              <w:rPr>
                <w:b/>
              </w:rPr>
              <w:t>Category</w:t>
            </w:r>
          </w:p>
        </w:tc>
        <w:tc>
          <w:tcPr>
            <w:tcW w:w="2410" w:type="dxa"/>
            <w:shd w:val="clear" w:color="auto" w:fill="DBE5F1" w:themeFill="accent1" w:themeFillTint="33"/>
          </w:tcPr>
          <w:p w14:paraId="14E2BDC8" w14:textId="60B061C1" w:rsidR="00E90651" w:rsidRPr="00B47C78" w:rsidRDefault="00E90651" w:rsidP="00EB0B2A">
            <w:pPr>
              <w:jc w:val="center"/>
              <w:rPr>
                <w:b/>
                <w:bCs/>
              </w:rPr>
            </w:pPr>
            <w:r w:rsidRPr="50A2A37C">
              <w:rPr>
                <w:b/>
                <w:bCs/>
              </w:rPr>
              <w:t>Expenditure 20</w:t>
            </w:r>
            <w:r w:rsidR="003B0D84">
              <w:rPr>
                <w:b/>
                <w:bCs/>
              </w:rPr>
              <w:t>2</w:t>
            </w:r>
            <w:r w:rsidR="00D75A8C">
              <w:rPr>
                <w:b/>
                <w:bCs/>
              </w:rPr>
              <w:t>3</w:t>
            </w:r>
            <w:r w:rsidR="003B0D84">
              <w:rPr>
                <w:b/>
                <w:bCs/>
              </w:rPr>
              <w:t>/2</w:t>
            </w:r>
            <w:r w:rsidR="00D75A8C">
              <w:rPr>
                <w:b/>
                <w:bCs/>
              </w:rPr>
              <w:t>4</w:t>
            </w:r>
          </w:p>
        </w:tc>
        <w:tc>
          <w:tcPr>
            <w:tcW w:w="5023" w:type="dxa"/>
            <w:shd w:val="clear" w:color="auto" w:fill="DBE5F1" w:themeFill="accent1" w:themeFillTint="33"/>
          </w:tcPr>
          <w:p w14:paraId="59975894" w14:textId="77777777" w:rsidR="00E90651" w:rsidRPr="00B47C78" w:rsidRDefault="00E90651" w:rsidP="00EB0B2A">
            <w:pPr>
              <w:jc w:val="center"/>
              <w:rPr>
                <w:b/>
              </w:rPr>
            </w:pPr>
            <w:r w:rsidRPr="00B47C78">
              <w:rPr>
                <w:b/>
              </w:rPr>
              <w:t>Comments</w:t>
            </w:r>
          </w:p>
        </w:tc>
      </w:tr>
      <w:tr w:rsidR="00E90651" w14:paraId="462BBD80" w14:textId="77777777" w:rsidTr="50A2A37C">
        <w:tc>
          <w:tcPr>
            <w:tcW w:w="1809" w:type="dxa"/>
          </w:tcPr>
          <w:p w14:paraId="6685858A" w14:textId="77777777" w:rsidR="00E90651" w:rsidRDefault="00E90651" w:rsidP="00E90651">
            <w:r>
              <w:t>Public relations</w:t>
            </w:r>
          </w:p>
        </w:tc>
        <w:tc>
          <w:tcPr>
            <w:tcW w:w="2410" w:type="dxa"/>
          </w:tcPr>
          <w:p w14:paraId="6C0DF890" w14:textId="54C6C3B3" w:rsidR="00EB0B2A" w:rsidRDefault="00E90651" w:rsidP="00E90651">
            <w:r w:rsidRPr="000248C2">
              <w:t>Total staff costs</w:t>
            </w:r>
            <w:r w:rsidR="00EB0B2A">
              <w:t xml:space="preserve">: </w:t>
            </w:r>
            <w:r w:rsidR="00D6604A" w:rsidRPr="00494D6F">
              <w:t>£</w:t>
            </w:r>
            <w:r w:rsidR="000248C2" w:rsidRPr="0011268C">
              <w:t>1</w:t>
            </w:r>
            <w:r w:rsidR="0011268C" w:rsidRPr="0011268C">
              <w:t>55</w:t>
            </w:r>
            <w:r w:rsidR="00D6604A" w:rsidRPr="0011268C">
              <w:t xml:space="preserve">k </w:t>
            </w:r>
          </w:p>
          <w:p w14:paraId="25BE5D7D" w14:textId="77777777" w:rsidR="00EB0B2A" w:rsidRDefault="00EB0B2A" w:rsidP="00E90651"/>
          <w:p w14:paraId="3E48306E" w14:textId="274A64E9" w:rsidR="00E90651" w:rsidRPr="00FA4B6B" w:rsidRDefault="00D6604A" w:rsidP="00E90651">
            <w:pPr>
              <w:rPr>
                <w:highlight w:val="yellow"/>
              </w:rPr>
            </w:pPr>
            <w:r w:rsidRPr="0011268C">
              <w:t>(of which £</w:t>
            </w:r>
            <w:r w:rsidR="000248C2" w:rsidRPr="0011268C">
              <w:t>1</w:t>
            </w:r>
            <w:r w:rsidR="0011268C" w:rsidRPr="0011268C">
              <w:t>20</w:t>
            </w:r>
            <w:r w:rsidRPr="0011268C">
              <w:t>k is salaries and £</w:t>
            </w:r>
            <w:r w:rsidR="000248C2" w:rsidRPr="0011268C">
              <w:t>3</w:t>
            </w:r>
            <w:r w:rsidR="0011268C" w:rsidRPr="0011268C">
              <w:t>5</w:t>
            </w:r>
            <w:r w:rsidRPr="0011268C">
              <w:t>k</w:t>
            </w:r>
            <w:r w:rsidR="00E90651" w:rsidRPr="0011268C">
              <w:t xml:space="preserve"> is on</w:t>
            </w:r>
            <w:r w:rsidR="00E97562" w:rsidRPr="0011268C">
              <w:t>-</w:t>
            </w:r>
            <w:r w:rsidR="00E90651" w:rsidRPr="0011268C">
              <w:t>costs</w:t>
            </w:r>
            <w:r w:rsidRPr="0011268C">
              <w:t>)</w:t>
            </w:r>
          </w:p>
          <w:p w14:paraId="7276C32D" w14:textId="77777777" w:rsidR="00E90651" w:rsidRPr="00FA4B6B" w:rsidRDefault="00E90651" w:rsidP="00E90651">
            <w:pPr>
              <w:rPr>
                <w:highlight w:val="yellow"/>
              </w:rPr>
            </w:pPr>
          </w:p>
          <w:p w14:paraId="512A7FAC" w14:textId="7DAB5B0C" w:rsidR="00E90651" w:rsidRPr="004D2048" w:rsidRDefault="00D6604A" w:rsidP="00E90651">
            <w:r w:rsidRPr="009B2DCE">
              <w:t>External costs = £</w:t>
            </w:r>
            <w:r w:rsidR="003E6A59" w:rsidRPr="009B2DCE">
              <w:t>1</w:t>
            </w:r>
            <w:r w:rsidR="000710AA" w:rsidRPr="009B2DCE">
              <w:t>2</w:t>
            </w:r>
            <w:r w:rsidR="003E6A59" w:rsidRPr="009B2DCE">
              <w:t>k</w:t>
            </w:r>
          </w:p>
          <w:p w14:paraId="6670B9BB" w14:textId="77777777" w:rsidR="00E90651" w:rsidRPr="004D2048" w:rsidRDefault="00E90651" w:rsidP="00E90651"/>
          <w:p w14:paraId="0D922962" w14:textId="77777777" w:rsidR="00E90651" w:rsidRPr="004D2048" w:rsidRDefault="00E90651" w:rsidP="00E90651"/>
        </w:tc>
        <w:tc>
          <w:tcPr>
            <w:tcW w:w="5023" w:type="dxa"/>
          </w:tcPr>
          <w:p w14:paraId="2A3ACA45" w14:textId="04D761ED" w:rsidR="00E90651" w:rsidRDefault="00E90651" w:rsidP="00E90651">
            <w:r w:rsidRPr="004D2048">
              <w:t>On</w:t>
            </w:r>
            <w:r w:rsidR="00661776">
              <w:t>-</w:t>
            </w:r>
            <w:r w:rsidRPr="004D2048">
              <w:t>costs relate to employer’s national insurance and employer’s pension contributions.</w:t>
            </w:r>
          </w:p>
          <w:p w14:paraId="16694780" w14:textId="77777777" w:rsidR="00F5077C" w:rsidRPr="004D2048" w:rsidRDefault="00F5077C" w:rsidP="00E90651"/>
          <w:p w14:paraId="257A48D2" w14:textId="0B2DCCC4" w:rsidR="00E90651" w:rsidRDefault="00E90651" w:rsidP="00E90651">
            <w:r w:rsidRPr="004D2048">
              <w:t xml:space="preserve">External costs for the public relations category </w:t>
            </w:r>
            <w:r w:rsidR="00661776" w:rsidRPr="004D2048">
              <w:t>include</w:t>
            </w:r>
            <w:r w:rsidRPr="004D2048">
              <w:t xml:space="preserve"> expenditure on media relations and PR.</w:t>
            </w:r>
          </w:p>
          <w:p w14:paraId="5850862B" w14:textId="77777777" w:rsidR="00F5077C" w:rsidRPr="004D2048" w:rsidRDefault="00F5077C" w:rsidP="00E90651"/>
          <w:p w14:paraId="43BF5776" w14:textId="77777777" w:rsidR="00E90651" w:rsidRDefault="00E90651" w:rsidP="00E90651">
            <w:r w:rsidRPr="004D2048">
              <w:t xml:space="preserve">This activity is aimed at helping </w:t>
            </w:r>
            <w:r w:rsidRPr="48F06CD5">
              <w:rPr>
                <w:b/>
                <w:bCs/>
              </w:rPr>
              <w:t>sport</w:t>
            </w:r>
            <w:r w:rsidRPr="004D2048">
              <w:t xml:space="preserve">scotland to fulfil its role in developing and promoting a world class sporting system in Scotland, raising awareness of achievements in sport from grassroots to high performance and sharing information effectively on the work of </w:t>
            </w:r>
            <w:r w:rsidRPr="48F06CD5">
              <w:rPr>
                <w:b/>
                <w:bCs/>
              </w:rPr>
              <w:t>sport</w:t>
            </w:r>
            <w:r w:rsidRPr="004D2048">
              <w:t>scotland.</w:t>
            </w:r>
          </w:p>
          <w:p w14:paraId="7A205A0E" w14:textId="60309B36" w:rsidR="00F5077C" w:rsidRPr="004D2048" w:rsidRDefault="00F5077C" w:rsidP="00E90651"/>
        </w:tc>
      </w:tr>
      <w:tr w:rsidR="00E90651" w14:paraId="709E4118" w14:textId="77777777" w:rsidTr="50A2A37C">
        <w:tc>
          <w:tcPr>
            <w:tcW w:w="1809" w:type="dxa"/>
          </w:tcPr>
          <w:p w14:paraId="1711BF6E" w14:textId="77777777" w:rsidR="00E90651" w:rsidRDefault="00E90651" w:rsidP="00E90651">
            <w:r>
              <w:t>Overseas travel</w:t>
            </w:r>
          </w:p>
        </w:tc>
        <w:tc>
          <w:tcPr>
            <w:tcW w:w="2410" w:type="dxa"/>
          </w:tcPr>
          <w:p w14:paraId="1EE98FF7" w14:textId="7E6AE889" w:rsidR="00E90651" w:rsidRPr="005B4C21" w:rsidRDefault="00D6604A" w:rsidP="00E90651">
            <w:r w:rsidRPr="005B1DFF">
              <w:t>£</w:t>
            </w:r>
            <w:r w:rsidR="001379C2">
              <w:t>98</w:t>
            </w:r>
            <w:r w:rsidR="004C05A1">
              <w:t>k</w:t>
            </w:r>
          </w:p>
        </w:tc>
        <w:tc>
          <w:tcPr>
            <w:tcW w:w="5023" w:type="dxa"/>
          </w:tcPr>
          <w:p w14:paraId="6ABC986E" w14:textId="77777777" w:rsidR="00B47C78" w:rsidRDefault="00E90651" w:rsidP="00E90651">
            <w:r w:rsidRPr="005B4C21">
              <w:t>As part of our role</w:t>
            </w:r>
            <w:r w:rsidR="00B47C78" w:rsidRPr="005B4C21">
              <w:t xml:space="preserve"> in promoting and supporting the world class sporting system in Scotland, there is </w:t>
            </w:r>
            <w:r w:rsidR="00823389">
              <w:t xml:space="preserve">sometimes </w:t>
            </w:r>
            <w:r w:rsidR="00B47C78" w:rsidRPr="005B4C21">
              <w:t xml:space="preserve">a requirement for </w:t>
            </w:r>
            <w:r w:rsidR="00B47C78" w:rsidRPr="004F42EE">
              <w:rPr>
                <w:b/>
                <w:bCs/>
              </w:rPr>
              <w:t>sport</w:t>
            </w:r>
            <w:r w:rsidR="00B47C78" w:rsidRPr="005B4C21">
              <w:t>scotland staff to travel overseas in support of key international competitions and training events.</w:t>
            </w:r>
          </w:p>
          <w:p w14:paraId="46D1906B" w14:textId="019FCE5E" w:rsidR="00F5077C" w:rsidRPr="005B4C21" w:rsidRDefault="00F5077C" w:rsidP="00E90651"/>
        </w:tc>
      </w:tr>
      <w:tr w:rsidR="00E90651" w14:paraId="44543D7D" w14:textId="77777777" w:rsidTr="50A2A37C">
        <w:tc>
          <w:tcPr>
            <w:tcW w:w="1809" w:type="dxa"/>
          </w:tcPr>
          <w:p w14:paraId="0234346D" w14:textId="759B604E" w:rsidR="00E90651" w:rsidRDefault="00B47C78" w:rsidP="00E90651">
            <w:r>
              <w:t>Hospitality and entertainment</w:t>
            </w:r>
          </w:p>
        </w:tc>
        <w:tc>
          <w:tcPr>
            <w:tcW w:w="2410" w:type="dxa"/>
          </w:tcPr>
          <w:p w14:paraId="7909B294" w14:textId="7F1F1F5F" w:rsidR="00B47C78" w:rsidRDefault="00B47C78" w:rsidP="00E90651">
            <w:r w:rsidRPr="48F06CD5">
              <w:rPr>
                <w:b/>
                <w:bCs/>
              </w:rPr>
              <w:t>sport</w:t>
            </w:r>
            <w:r w:rsidR="00D6604A" w:rsidRPr="004D2048">
              <w:t>scotland staff expenses = nil</w:t>
            </w:r>
          </w:p>
          <w:p w14:paraId="5638B93B" w14:textId="4C1FBFB0" w:rsidR="00F5077C" w:rsidRPr="006202C7" w:rsidRDefault="00F5077C" w:rsidP="00E90651"/>
        </w:tc>
        <w:tc>
          <w:tcPr>
            <w:tcW w:w="5023" w:type="dxa"/>
          </w:tcPr>
          <w:p w14:paraId="5926E60C" w14:textId="0E45AF17" w:rsidR="00E90651" w:rsidRPr="00CF73C5" w:rsidRDefault="00E90651" w:rsidP="00E90651">
            <w:pPr>
              <w:rPr>
                <w:highlight w:val="yellow"/>
              </w:rPr>
            </w:pPr>
          </w:p>
        </w:tc>
      </w:tr>
      <w:tr w:rsidR="00E90651" w14:paraId="1FF87383" w14:textId="77777777" w:rsidTr="50A2A37C">
        <w:tc>
          <w:tcPr>
            <w:tcW w:w="1809" w:type="dxa"/>
          </w:tcPr>
          <w:p w14:paraId="6EC7CA29" w14:textId="77777777" w:rsidR="00E90651" w:rsidRDefault="00B47C78" w:rsidP="00E90651">
            <w:r>
              <w:t>External consultancy</w:t>
            </w:r>
          </w:p>
          <w:p w14:paraId="01A37A5D" w14:textId="77777777" w:rsidR="00B47C78" w:rsidRDefault="00B47C78" w:rsidP="00E90651"/>
        </w:tc>
        <w:tc>
          <w:tcPr>
            <w:tcW w:w="2410" w:type="dxa"/>
          </w:tcPr>
          <w:p w14:paraId="7799F1D0" w14:textId="1B1DB7FF" w:rsidR="00E90651" w:rsidRPr="004D2048" w:rsidRDefault="00D6604A" w:rsidP="00E90651">
            <w:r w:rsidRPr="00D76A61">
              <w:t>£</w:t>
            </w:r>
            <w:r w:rsidR="00874117">
              <w:t>121</w:t>
            </w:r>
            <w:r w:rsidRPr="00D76A61">
              <w:t>k</w:t>
            </w:r>
          </w:p>
        </w:tc>
        <w:tc>
          <w:tcPr>
            <w:tcW w:w="5023" w:type="dxa"/>
          </w:tcPr>
          <w:p w14:paraId="57137190" w14:textId="1A183688" w:rsidR="008901DB" w:rsidRPr="00C36018" w:rsidRDefault="00D6604A" w:rsidP="00645D6F">
            <w:r w:rsidRPr="008C610E">
              <w:t>The main area</w:t>
            </w:r>
            <w:r w:rsidR="00B47C78" w:rsidRPr="008C610E">
              <w:t xml:space="preserve"> of consulta</w:t>
            </w:r>
            <w:r w:rsidR="00C6495A" w:rsidRPr="008C610E">
              <w:t>ncy expenditure in 20</w:t>
            </w:r>
            <w:r w:rsidR="003B0D84">
              <w:t>2</w:t>
            </w:r>
            <w:r w:rsidR="00281A21">
              <w:t>3</w:t>
            </w:r>
            <w:r w:rsidR="003B0D84">
              <w:t>-2</w:t>
            </w:r>
            <w:r w:rsidR="00281A21">
              <w:t>4</w:t>
            </w:r>
            <w:r w:rsidR="00C6495A" w:rsidRPr="008C610E">
              <w:t xml:space="preserve"> </w:t>
            </w:r>
            <w:r w:rsidRPr="008C610E">
              <w:t>was</w:t>
            </w:r>
            <w:r w:rsidR="00F35175">
              <w:t xml:space="preserve"> </w:t>
            </w:r>
            <w:r w:rsidR="00524D16">
              <w:t>for concussion education</w:t>
            </w:r>
            <w:r w:rsidR="00572F4B">
              <w:t>,</w:t>
            </w:r>
            <w:r w:rsidR="00BA4977">
              <w:t xml:space="preserve"> web development</w:t>
            </w:r>
            <w:r w:rsidR="00645D6F">
              <w:t xml:space="preserve"> and cyber defence</w:t>
            </w:r>
            <w:r w:rsidR="00BA4977">
              <w:t xml:space="preserve">, </w:t>
            </w:r>
            <w:r w:rsidR="00BA4977" w:rsidRPr="008C610E">
              <w:t xml:space="preserve">along </w:t>
            </w:r>
            <w:r w:rsidR="00BA4977">
              <w:t>with the annual</w:t>
            </w:r>
            <w:r w:rsidR="006E3131">
              <w:t xml:space="preserve"> </w:t>
            </w:r>
            <w:r w:rsidR="00A70913">
              <w:t>pension valuation repor</w:t>
            </w:r>
            <w:r w:rsidR="00E167A5">
              <w:t>t</w:t>
            </w:r>
            <w:r w:rsidR="00C6495A" w:rsidRPr="008C610E">
              <w:t>.</w:t>
            </w:r>
            <w:r w:rsidR="004D6C62">
              <w:t xml:space="preserve"> An</w:t>
            </w:r>
            <w:r w:rsidR="00D96311">
              <w:t xml:space="preserve">other large consultancy </w:t>
            </w:r>
            <w:r w:rsidR="00572F4B">
              <w:t>outlay</w:t>
            </w:r>
            <w:r w:rsidR="00E167A5">
              <w:t xml:space="preserve"> in FY24</w:t>
            </w:r>
            <w:r w:rsidR="00D96311">
              <w:t xml:space="preserve"> was </w:t>
            </w:r>
            <w:r w:rsidR="00B34390">
              <w:t>regarding workplace strategy and consultancy for Caledonia House</w:t>
            </w:r>
            <w:r w:rsidR="008901DB">
              <w:t>.</w:t>
            </w:r>
          </w:p>
        </w:tc>
      </w:tr>
    </w:tbl>
    <w:p w14:paraId="3C22A008" w14:textId="77777777" w:rsidR="00866DC8" w:rsidRDefault="00866DC8">
      <w:pPr>
        <w:rPr>
          <w:b/>
        </w:rPr>
      </w:pPr>
    </w:p>
    <w:p w14:paraId="33853F97" w14:textId="77777777" w:rsidR="008A3E3E" w:rsidRDefault="008A3E3E">
      <w:pPr>
        <w:rPr>
          <w:b/>
        </w:rPr>
      </w:pPr>
    </w:p>
    <w:p w14:paraId="17E3D8A6" w14:textId="0A6130E2" w:rsidR="00B47C78" w:rsidRPr="006630F4" w:rsidRDefault="009405C4" w:rsidP="009405C4">
      <w:pPr>
        <w:pStyle w:val="ListParagraph"/>
        <w:numPr>
          <w:ilvl w:val="0"/>
          <w:numId w:val="1"/>
        </w:numPr>
        <w:rPr>
          <w:b/>
        </w:rPr>
      </w:pPr>
      <w:r w:rsidRPr="006630F4">
        <w:rPr>
          <w:b/>
        </w:rPr>
        <w:t xml:space="preserve">Payments </w:t>
      </w:r>
      <w:proofErr w:type="gramStart"/>
      <w:r w:rsidRPr="006630F4">
        <w:rPr>
          <w:b/>
        </w:rPr>
        <w:t>in excess of</w:t>
      </w:r>
      <w:proofErr w:type="gramEnd"/>
      <w:r w:rsidRPr="006630F4">
        <w:rPr>
          <w:b/>
        </w:rPr>
        <w:t xml:space="preserve"> £25,000</w:t>
      </w:r>
    </w:p>
    <w:p w14:paraId="226ABEF5" w14:textId="77777777" w:rsidR="009405C4" w:rsidRDefault="009405C4" w:rsidP="009405C4">
      <w:pPr>
        <w:pStyle w:val="ListParagraph"/>
      </w:pPr>
    </w:p>
    <w:p w14:paraId="7B4C197A" w14:textId="373DDA8B" w:rsidR="00806012" w:rsidRPr="005B4C21" w:rsidRDefault="006630F4" w:rsidP="009414AE">
      <w:pPr>
        <w:pStyle w:val="ListParagraph"/>
        <w:numPr>
          <w:ilvl w:val="1"/>
          <w:numId w:val="1"/>
        </w:numPr>
      </w:pPr>
      <w:r>
        <w:t>Payments i</w:t>
      </w:r>
      <w:r w:rsidR="009405C4">
        <w:t>n excess of £25,000 can be found at</w:t>
      </w:r>
      <w:r w:rsidR="00C73AAE">
        <w:t>:</w:t>
      </w:r>
      <w:r w:rsidR="003B0D84">
        <w:t xml:space="preserve"> </w:t>
      </w:r>
      <w:hyperlink r:id="rId14" w:history="1">
        <w:r w:rsidR="00C73AAE">
          <w:rPr>
            <w:rStyle w:val="Hyperlink"/>
          </w:rPr>
          <w:t>Public S</w:t>
        </w:r>
        <w:r w:rsidR="00C73AAE">
          <w:rPr>
            <w:rStyle w:val="Hyperlink"/>
          </w:rPr>
          <w:t>e</w:t>
        </w:r>
        <w:r w:rsidR="00C73AAE">
          <w:rPr>
            <w:rStyle w:val="Hyperlink"/>
          </w:rPr>
          <w:t>rvices Reform (Scotland) Act 2010 (sportscotland.org.uk)</w:t>
        </w:r>
      </w:hyperlink>
    </w:p>
    <w:p w14:paraId="11A948BF" w14:textId="77777777" w:rsidR="005B4C21" w:rsidRPr="009414AE" w:rsidRDefault="005B4C21" w:rsidP="005B4C21">
      <w:pPr>
        <w:ind w:left="360"/>
      </w:pPr>
    </w:p>
    <w:p w14:paraId="4051D1DC" w14:textId="21E22257" w:rsidR="006630F4" w:rsidRPr="00BD67C3" w:rsidRDefault="006630F4" w:rsidP="006630F4">
      <w:pPr>
        <w:pStyle w:val="ListParagraph"/>
        <w:numPr>
          <w:ilvl w:val="0"/>
          <w:numId w:val="1"/>
        </w:numPr>
        <w:rPr>
          <w:b/>
        </w:rPr>
      </w:pPr>
      <w:r w:rsidRPr="00BD67C3">
        <w:rPr>
          <w:b/>
        </w:rPr>
        <w:t>Staff earning over £150,000</w:t>
      </w:r>
    </w:p>
    <w:p w14:paraId="66E2438F" w14:textId="77777777" w:rsidR="00BD67C3" w:rsidRDefault="00BD67C3" w:rsidP="00BD67C3">
      <w:pPr>
        <w:pStyle w:val="ListParagraph"/>
      </w:pPr>
    </w:p>
    <w:p w14:paraId="2456F419" w14:textId="0924258E" w:rsidR="006630F4" w:rsidRDefault="006630F4" w:rsidP="006630F4">
      <w:pPr>
        <w:pStyle w:val="ListParagraph"/>
        <w:numPr>
          <w:ilvl w:val="1"/>
          <w:numId w:val="1"/>
        </w:numPr>
      </w:pPr>
      <w:r>
        <w:t>No employee earned over £150,000 in the year ended 31 March 20</w:t>
      </w:r>
      <w:r w:rsidR="00863EF9">
        <w:t>2</w:t>
      </w:r>
      <w:r w:rsidR="00DA3E0B">
        <w:t>4</w:t>
      </w:r>
      <w:r>
        <w:t>.</w:t>
      </w:r>
    </w:p>
    <w:p w14:paraId="1C97D54D" w14:textId="77777777" w:rsidR="00852B6B" w:rsidRDefault="00852B6B" w:rsidP="00852B6B">
      <w:pPr>
        <w:pStyle w:val="ListParagraph"/>
        <w:ind w:left="735"/>
      </w:pPr>
    </w:p>
    <w:p w14:paraId="3FB95018" w14:textId="4925A5C5" w:rsidR="006630F4" w:rsidRDefault="00BD67C3" w:rsidP="00806012">
      <w:pPr>
        <w:pStyle w:val="ListParagraph"/>
        <w:numPr>
          <w:ilvl w:val="1"/>
          <w:numId w:val="1"/>
        </w:numPr>
        <w:jc w:val="both"/>
      </w:pPr>
      <w:r>
        <w:t>Details of the remuneration for senior staff and board members can be found in the Remuneration Report published in the Annual Report and Financial statements for the year ended 31 March 20</w:t>
      </w:r>
      <w:r w:rsidR="00F35175">
        <w:t>2</w:t>
      </w:r>
      <w:r w:rsidR="0037175F">
        <w:t>4</w:t>
      </w:r>
      <w:r>
        <w:t>.</w:t>
      </w:r>
    </w:p>
    <w:p w14:paraId="45173C64" w14:textId="77777777" w:rsidR="00BD67C3" w:rsidRDefault="00BD67C3" w:rsidP="00BD67C3"/>
    <w:p w14:paraId="51CC2C8E" w14:textId="50CC34ED" w:rsidR="00BD67C3" w:rsidRPr="007E57CD" w:rsidRDefault="00BD67C3" w:rsidP="00BD67C3">
      <w:pPr>
        <w:pStyle w:val="ListParagraph"/>
        <w:numPr>
          <w:ilvl w:val="0"/>
          <w:numId w:val="1"/>
        </w:numPr>
        <w:rPr>
          <w:b/>
        </w:rPr>
      </w:pPr>
      <w:r w:rsidRPr="007E57CD">
        <w:rPr>
          <w:b/>
        </w:rPr>
        <w:t>Statement on sustainable growth</w:t>
      </w:r>
    </w:p>
    <w:p w14:paraId="7886368A" w14:textId="77777777" w:rsidR="00BD67C3" w:rsidRPr="00BD67C3" w:rsidRDefault="00BD67C3" w:rsidP="00BD67C3">
      <w:pPr>
        <w:pStyle w:val="ListParagraph"/>
        <w:rPr>
          <w:b/>
        </w:rPr>
      </w:pPr>
    </w:p>
    <w:p w14:paraId="3E5ECD20" w14:textId="6BF532BE" w:rsidR="00BD67C3" w:rsidRDefault="00BD67C3" w:rsidP="00806012">
      <w:pPr>
        <w:pStyle w:val="ListParagraph"/>
        <w:numPr>
          <w:ilvl w:val="1"/>
          <w:numId w:val="1"/>
        </w:numPr>
        <w:jc w:val="both"/>
      </w:pPr>
      <w:r w:rsidRPr="00BD67C3">
        <w:rPr>
          <w:b/>
        </w:rPr>
        <w:t>sport</w:t>
      </w:r>
      <w:r>
        <w:t>scotland is committed to promoting and increasing sport development and activity through the exercise of its functions.  During the year ended 31 March 20</w:t>
      </w:r>
      <w:r w:rsidR="00F35175">
        <w:t>2</w:t>
      </w:r>
      <w:r w:rsidR="003B625A">
        <w:t>4</w:t>
      </w:r>
      <w:r>
        <w:t xml:space="preserve">, </w:t>
      </w:r>
      <w:r w:rsidRPr="00774A9D">
        <w:rPr>
          <w:b/>
        </w:rPr>
        <w:t>sport</w:t>
      </w:r>
      <w:r>
        <w:t xml:space="preserve">scotland invested more than </w:t>
      </w:r>
      <w:r w:rsidR="001A08BC" w:rsidRPr="00926CA2">
        <w:t>£</w:t>
      </w:r>
      <w:r w:rsidR="00926CA2" w:rsidRPr="00483D9D">
        <w:t>6</w:t>
      </w:r>
      <w:r w:rsidR="007E57CD">
        <w:t>3</w:t>
      </w:r>
      <w:r w:rsidR="001A08BC">
        <w:t xml:space="preserve"> million </w:t>
      </w:r>
      <w:r>
        <w:t>from both Scottish Government grant in aid and National Lottery funding, in Local Authorities, Sports Governing Bodies</w:t>
      </w:r>
      <w:r w:rsidR="00AB77BF">
        <w:t xml:space="preserve"> (“SGBs”</w:t>
      </w:r>
      <w:r w:rsidR="00C36018">
        <w:t>)</w:t>
      </w:r>
      <w:r>
        <w:t xml:space="preserve">, Community Sports Hubs and Sports Clubs, as well as in supporting athletes through the </w:t>
      </w:r>
      <w:r w:rsidR="00AB77BF" w:rsidRPr="00AB77BF">
        <w:rPr>
          <w:b/>
        </w:rPr>
        <w:t>sport</w:t>
      </w:r>
      <w:r w:rsidR="00AB77BF">
        <w:t>scotland</w:t>
      </w:r>
      <w:r>
        <w:t xml:space="preserve"> Institute of Sport. Significant amounts of this investment </w:t>
      </w:r>
      <w:r w:rsidR="00E371CA">
        <w:t xml:space="preserve">relate to </w:t>
      </w:r>
      <w:r w:rsidR="00CA36A2">
        <w:t>the</w:t>
      </w:r>
      <w:r>
        <w:t xml:space="preserve"> part or full funding of posts throughout the sporting system in Scotland, as well as funding for the development of sporting facilities.</w:t>
      </w:r>
    </w:p>
    <w:p w14:paraId="1457F4FF" w14:textId="77777777" w:rsidR="00956984" w:rsidRDefault="00956984" w:rsidP="00956984">
      <w:pPr>
        <w:pStyle w:val="ListParagraph"/>
        <w:ind w:left="735"/>
      </w:pPr>
    </w:p>
    <w:p w14:paraId="7FA56874" w14:textId="72B1E521" w:rsidR="00BD67C3" w:rsidRDefault="00BD67C3" w:rsidP="00BD67C3">
      <w:pPr>
        <w:pStyle w:val="ListParagraph"/>
        <w:numPr>
          <w:ilvl w:val="1"/>
          <w:numId w:val="1"/>
        </w:numPr>
      </w:pPr>
      <w:r>
        <w:t xml:space="preserve">Some examples of how </w:t>
      </w:r>
      <w:r w:rsidRPr="00BD67C3">
        <w:rPr>
          <w:b/>
        </w:rPr>
        <w:t>sport</w:t>
      </w:r>
      <w:r>
        <w:t>scotland supports sustainable growth include:</w:t>
      </w:r>
    </w:p>
    <w:p w14:paraId="7003EFE2" w14:textId="77777777" w:rsidR="00BD67C3" w:rsidRDefault="00BD67C3" w:rsidP="00BD67C3">
      <w:pPr>
        <w:pStyle w:val="ListParagraph"/>
        <w:ind w:left="735"/>
      </w:pPr>
    </w:p>
    <w:p w14:paraId="7108F455" w14:textId="77777777" w:rsidR="00B455B0" w:rsidRDefault="00B455B0" w:rsidP="00B455B0">
      <w:pPr>
        <w:pStyle w:val="Heading5"/>
        <w:ind w:left="567"/>
        <w:rPr>
          <w:rFonts w:asciiTheme="minorHAnsi" w:eastAsiaTheme="minorHAnsi" w:hAnsiTheme="minorHAnsi" w:cs="Arial"/>
          <w:bCs/>
          <w:sz w:val="22"/>
          <w:szCs w:val="23"/>
        </w:rPr>
      </w:pPr>
      <w:r w:rsidRPr="00D5245F">
        <w:rPr>
          <w:rFonts w:asciiTheme="minorHAnsi" w:eastAsiaTheme="minorHAnsi" w:hAnsiTheme="minorHAnsi" w:cs="Arial"/>
          <w:bCs/>
          <w:sz w:val="22"/>
          <w:szCs w:val="23"/>
        </w:rPr>
        <w:t>Clubs and communities</w:t>
      </w:r>
    </w:p>
    <w:p w14:paraId="6BC6BCBC" w14:textId="77777777" w:rsidR="00FD2A6E" w:rsidRPr="00FD2A6E" w:rsidRDefault="00FD2A6E" w:rsidP="00FD2A6E">
      <w:pPr>
        <w:pStyle w:val="NormalIndent"/>
      </w:pPr>
    </w:p>
    <w:p w14:paraId="01886A66" w14:textId="738FAEB0" w:rsidR="00D5245F" w:rsidRPr="0086348F" w:rsidRDefault="00E67083" w:rsidP="00D5245F">
      <w:pPr>
        <w:ind w:left="567"/>
        <w:rPr>
          <w:rFonts w:cs="Arial"/>
          <w:szCs w:val="23"/>
        </w:rPr>
      </w:pPr>
      <w:r w:rsidRPr="00264955">
        <w:rPr>
          <w:rFonts w:cs="Arial"/>
          <w:b/>
          <w:bCs/>
          <w:szCs w:val="23"/>
        </w:rPr>
        <w:t>s</w:t>
      </w:r>
      <w:r w:rsidR="00FA4286" w:rsidRPr="00264955">
        <w:rPr>
          <w:rFonts w:cs="Arial"/>
          <w:b/>
          <w:bCs/>
          <w:szCs w:val="23"/>
        </w:rPr>
        <w:t>port</w:t>
      </w:r>
      <w:r w:rsidRPr="00D5245F">
        <w:rPr>
          <w:rFonts w:cs="Arial"/>
          <w:szCs w:val="23"/>
        </w:rPr>
        <w:t xml:space="preserve">scotland </w:t>
      </w:r>
      <w:r w:rsidR="00D5245F" w:rsidRPr="0086348F">
        <w:rPr>
          <w:rFonts w:cs="Arial"/>
          <w:szCs w:val="23"/>
        </w:rPr>
        <w:t>continued to work with SGBs, national partners, clubs and community organisations.</w:t>
      </w:r>
      <w:r w:rsidR="00264955">
        <w:rPr>
          <w:rFonts w:cs="Arial"/>
          <w:szCs w:val="23"/>
        </w:rPr>
        <w:t xml:space="preserve"> </w:t>
      </w:r>
      <w:r w:rsidR="00264955" w:rsidRPr="00264955">
        <w:rPr>
          <w:rFonts w:cs="Arial"/>
          <w:b/>
          <w:bCs/>
          <w:szCs w:val="23"/>
        </w:rPr>
        <w:t>sport</w:t>
      </w:r>
      <w:r w:rsidR="00264955" w:rsidRPr="00D5245F">
        <w:rPr>
          <w:rFonts w:cs="Arial"/>
          <w:szCs w:val="23"/>
        </w:rPr>
        <w:t>scotland</w:t>
      </w:r>
      <w:r w:rsidR="00264955" w:rsidRPr="0086348F">
        <w:rPr>
          <w:rFonts w:cs="Arial"/>
          <w:szCs w:val="23"/>
        </w:rPr>
        <w:t xml:space="preserve"> </w:t>
      </w:r>
      <w:r w:rsidR="00D5245F" w:rsidRPr="0086348F">
        <w:rPr>
          <w:rFonts w:cs="Arial"/>
          <w:szCs w:val="23"/>
        </w:rPr>
        <w:t>target investment</w:t>
      </w:r>
      <w:r w:rsidR="00264955">
        <w:rPr>
          <w:rFonts w:cs="Arial"/>
          <w:szCs w:val="23"/>
        </w:rPr>
        <w:t>s</w:t>
      </w:r>
      <w:r w:rsidR="00D5245F" w:rsidRPr="0086348F">
        <w:rPr>
          <w:rFonts w:cs="Arial"/>
          <w:szCs w:val="23"/>
        </w:rPr>
        <w:t xml:space="preserve"> to help protect the professional workforce and sports facilities infrastructure and support the ongoing recovery of the sport and leisure sector. </w:t>
      </w:r>
    </w:p>
    <w:p w14:paraId="696689FE" w14:textId="77777777" w:rsidR="00D5245F" w:rsidRPr="0086348F" w:rsidRDefault="00D5245F" w:rsidP="00D5245F">
      <w:pPr>
        <w:spacing w:before="240"/>
        <w:ind w:left="567"/>
        <w:rPr>
          <w:rFonts w:cs="Arial"/>
          <w:szCs w:val="23"/>
        </w:rPr>
      </w:pPr>
      <w:r w:rsidRPr="0086348F">
        <w:rPr>
          <w:rFonts w:cs="Arial"/>
          <w:szCs w:val="23"/>
        </w:rPr>
        <w:t xml:space="preserve">We established a new case management and support service, delivered by Children 1st. This aims to improve efficiency and expertise in relation to safeguarding, child wellbeing and protection and investigations support. We continue to support all invested SGBs to ensure compliance with Safeguarding Standards.  </w:t>
      </w:r>
    </w:p>
    <w:p w14:paraId="1DC8C54B" w14:textId="6FA9F871" w:rsidR="00D5245F" w:rsidRPr="00D5245F" w:rsidRDefault="00D5245F" w:rsidP="00D5245F">
      <w:pPr>
        <w:spacing w:before="240"/>
        <w:ind w:left="567"/>
        <w:rPr>
          <w:rFonts w:cs="Arial"/>
          <w:szCs w:val="23"/>
        </w:rPr>
      </w:pPr>
      <w:r w:rsidRPr="00D5245F">
        <w:rPr>
          <w:rFonts w:cs="Arial"/>
          <w:szCs w:val="23"/>
        </w:rPr>
        <w:t>We continue</w:t>
      </w:r>
      <w:r w:rsidR="008053CC">
        <w:rPr>
          <w:rFonts w:cs="Arial"/>
          <w:szCs w:val="23"/>
        </w:rPr>
        <w:t>d</w:t>
      </w:r>
      <w:r w:rsidRPr="00D5245F">
        <w:rPr>
          <w:rFonts w:cs="Arial"/>
          <w:szCs w:val="23"/>
        </w:rPr>
        <w:t xml:space="preserve"> to provide ongoing support to Cricket Scotland in relation to the</w:t>
      </w:r>
      <w:r w:rsidR="00866DC8">
        <w:rPr>
          <w:rFonts w:cs="Arial"/>
          <w:szCs w:val="23"/>
        </w:rPr>
        <w:t xml:space="preserve"> </w:t>
      </w:r>
      <w:r w:rsidRPr="00D5245F">
        <w:rPr>
          <w:rFonts w:cs="Arial"/>
          <w:szCs w:val="23"/>
        </w:rPr>
        <w:t xml:space="preserve">recommendations in the Changing the Boundaries report. Specifically, we have helped with recruitment of a new board and permanent CEO. We have also provided financial assistance in relation to a temporary CEO, a Changing the Boundaries Manager and an EDI Manager. We have also supported the development and delivery of EDI training throughout the sport, as well as the creation and resourcing of the team to investigate the referrals arising from the report. </w:t>
      </w:r>
    </w:p>
    <w:p w14:paraId="3A45A264" w14:textId="77777777" w:rsidR="00D5245F" w:rsidRPr="0086348F" w:rsidRDefault="00D5245F" w:rsidP="00D5245F">
      <w:pPr>
        <w:spacing w:before="240"/>
        <w:ind w:left="567"/>
        <w:rPr>
          <w:rFonts w:cs="Arial"/>
          <w:szCs w:val="23"/>
        </w:rPr>
      </w:pPr>
      <w:r w:rsidRPr="0086348F">
        <w:rPr>
          <w:rFonts w:cs="Arial"/>
          <w:szCs w:val="23"/>
        </w:rPr>
        <w:t xml:space="preserve">We continue to develop our nationwide Community Sports Hubs programme (CSHs). We provided residentials to give CSH Officers the opportunity to connect, share and learn with peers across the hub network. We offered a variety of sessions to support them in their role and foster inclusive approaches in club and community sport. This included workshops run by partners SAMH, Paths for All, ENABLE and Angus Council.  We launched an online CSH Café, an informal platform for the network to connect and encourage a culture of sharing and learning amongst peers.  We transitioned CSH club data to PowerBI. We provided data support sessions to ensure the network is equipped to capture the quality of information that accurately reflects and represents the work they do. </w:t>
      </w:r>
    </w:p>
    <w:p w14:paraId="1C73AF7F" w14:textId="77777777" w:rsidR="00D5245F" w:rsidRPr="0086348F" w:rsidRDefault="00D5245F" w:rsidP="00D5245F">
      <w:pPr>
        <w:spacing w:before="240"/>
        <w:ind w:left="567"/>
        <w:rPr>
          <w:rFonts w:cs="Arial"/>
          <w:szCs w:val="23"/>
        </w:rPr>
      </w:pPr>
      <w:r w:rsidRPr="0086348F">
        <w:rPr>
          <w:rFonts w:cs="Arial"/>
          <w:szCs w:val="23"/>
        </w:rPr>
        <w:t xml:space="preserve">We launched a new Moving to Inclusion framework for SGBs in collaboration with the five UK Sports Councils. This is a flexible development tool which support organisations to embed meaningful change. The framework includes a self-diagnostic tool to help organisations to assess where they are in relation to Equality, Diversity and Inclusion while we offer mentor support, help from equality partners and access to peer groups to drive improvements.  </w:t>
      </w:r>
    </w:p>
    <w:p w14:paraId="1D205476" w14:textId="77777777" w:rsidR="00D5245F" w:rsidRPr="00615639" w:rsidRDefault="00D5245F" w:rsidP="00D5245F">
      <w:pPr>
        <w:spacing w:before="240"/>
        <w:ind w:left="567"/>
        <w:rPr>
          <w:rFonts w:cs="Arial"/>
          <w:szCs w:val="23"/>
        </w:rPr>
      </w:pPr>
      <w:r w:rsidRPr="00615639">
        <w:rPr>
          <w:rFonts w:cs="Arial"/>
          <w:szCs w:val="23"/>
        </w:rPr>
        <w:t xml:space="preserve">We worked with ENABLE to support young disabled people into employment in sport. Seven young people are undertaking modern apprenticeships (MA) in various subjects within the sporting sector with ENABLE Works providing expert resources and mentoring support. We also offered online learning opportunities targeting local and national professional staff, clubs and community sport leaders. We delivered 14 workshops, to 236 people, which aimed at raising awareness and confidence when supporting people with a disability in the workplace. </w:t>
      </w:r>
    </w:p>
    <w:p w14:paraId="7C54E49E" w14:textId="77777777" w:rsidR="00D5245F" w:rsidRDefault="00D5245F" w:rsidP="00D5245F">
      <w:pPr>
        <w:spacing w:before="240"/>
        <w:ind w:left="567"/>
        <w:rPr>
          <w:rFonts w:cs="Arial"/>
          <w:szCs w:val="23"/>
        </w:rPr>
      </w:pPr>
      <w:r w:rsidRPr="00615639">
        <w:rPr>
          <w:rFonts w:cs="Arial"/>
          <w:szCs w:val="23"/>
        </w:rPr>
        <w:t xml:space="preserve">We worked with Scottish Disability Sport to support our Active Schools and Community Sport Hub networks when including children and young people with a disability in sport. We delivered 11 in person workshop and ongoing support to 185 professional staff, which aimed at improving the confidence of Active Schools Co-ordinators and Community Sport Hub Officers to remove barriers and include more disabled children and young people in sport. </w:t>
      </w:r>
    </w:p>
    <w:p w14:paraId="5FD3729D" w14:textId="77777777" w:rsidR="00D5245F" w:rsidRPr="0086348F" w:rsidRDefault="00D5245F" w:rsidP="00D5245F">
      <w:pPr>
        <w:spacing w:before="240"/>
        <w:ind w:left="567"/>
        <w:rPr>
          <w:rFonts w:cs="Arial"/>
          <w:szCs w:val="23"/>
        </w:rPr>
      </w:pPr>
      <w:r w:rsidRPr="0086348F">
        <w:rPr>
          <w:rFonts w:cs="Arial"/>
          <w:szCs w:val="23"/>
        </w:rPr>
        <w:t>We approved investment into 26 projects through the Sports Facilities Fund, tota</w:t>
      </w:r>
      <w:r>
        <w:rPr>
          <w:rFonts w:cs="Arial"/>
          <w:szCs w:val="23"/>
        </w:rPr>
        <w:t>l</w:t>
      </w:r>
      <w:r w:rsidRPr="0086348F">
        <w:rPr>
          <w:rFonts w:cs="Arial"/>
          <w:szCs w:val="23"/>
        </w:rPr>
        <w:t>ling £2,426,938, enabling investment of £19,714,890. Through the Cycling Facilities fund we approved investment of £1,343,053, into 14 projects, enabling investment of £1,902,227. We also approved investment of £</w:t>
      </w:r>
      <w:r w:rsidRPr="00E10210">
        <w:rPr>
          <w:rFonts w:cs="Arial"/>
          <w:szCs w:val="23"/>
        </w:rPr>
        <w:t>499,277</w:t>
      </w:r>
      <w:r w:rsidRPr="0086348F">
        <w:rPr>
          <w:rFonts w:cs="Arial"/>
          <w:szCs w:val="23"/>
        </w:rPr>
        <w:t xml:space="preserve"> into 176 projects through Awards for All across 29 local authorities</w:t>
      </w:r>
      <w:r>
        <w:rPr>
          <w:rFonts w:cs="Arial"/>
          <w:szCs w:val="23"/>
        </w:rPr>
        <w:t xml:space="preserve"> and 30 different sports</w:t>
      </w:r>
      <w:r w:rsidRPr="0086348F">
        <w:rPr>
          <w:rFonts w:cs="Arial"/>
          <w:szCs w:val="23"/>
        </w:rPr>
        <w:t xml:space="preserve">.  </w:t>
      </w:r>
    </w:p>
    <w:p w14:paraId="4DE0DC8F" w14:textId="77777777" w:rsidR="00D5245F" w:rsidRPr="0086348F" w:rsidRDefault="00D5245F" w:rsidP="00D5245F">
      <w:pPr>
        <w:spacing w:before="240"/>
        <w:ind w:left="567"/>
        <w:rPr>
          <w:rFonts w:cs="Arial"/>
          <w:szCs w:val="23"/>
        </w:rPr>
      </w:pPr>
      <w:r w:rsidRPr="0086348F">
        <w:rPr>
          <w:rFonts w:cs="Arial"/>
          <w:szCs w:val="23"/>
        </w:rPr>
        <w:t xml:space="preserve">We continued the development of our online learning platform Brightspace. This facilitates delivery of online education, training and CPD to people working or volunteering in sport, athletes, and their families. We supported 42 partners to use the platform, reaching over 43,000 active learners.  We launched new courses covering topics such as introduction to physical literacy, bras and breast health in sport, and Positive Coaching Scotland courses on mindset, mastery and values. We collaborated with home country partners across the UK, with Sport NI and Sport Wales now using the platform, as well as further education establishments such as Heriot-Watt University and the Open University. </w:t>
      </w:r>
    </w:p>
    <w:p w14:paraId="30D4BAA4" w14:textId="66617CF2" w:rsidR="00B80685" w:rsidRDefault="00D5245F" w:rsidP="00866DC8">
      <w:pPr>
        <w:pStyle w:val="BodyText1"/>
        <w:spacing w:before="100" w:beforeAutospacing="1" w:after="100" w:afterAutospacing="1"/>
        <w:ind w:left="567"/>
        <w:jc w:val="both"/>
        <w:rPr>
          <w:rFonts w:asciiTheme="minorHAnsi" w:hAnsiTheme="minorHAnsi" w:cs="Arial"/>
          <w:szCs w:val="23"/>
          <w:lang w:val="en-GB"/>
        </w:rPr>
      </w:pPr>
      <w:r w:rsidRPr="00D5245F">
        <w:rPr>
          <w:rFonts w:asciiTheme="minorHAnsi" w:hAnsiTheme="minorHAnsi" w:cs="Arial"/>
          <w:szCs w:val="23"/>
          <w:lang w:val="en-GB"/>
        </w:rPr>
        <w:t>We refreshed the Effective Coaching Map, in partnership with the Scottish Qualifications Authority (SQA) to support the development of coaches and deliverers across the sector. We aligned this with the CIMSPA Professional Standards and the development of the Scottish Coaching Certificate (SCC). We are supporting 28 SGBs to align directly to the new SCC. This is now embedded within Higher National Certificate and National Certificate level qualifications</w:t>
      </w:r>
      <w:r w:rsidR="00B80685">
        <w:rPr>
          <w:rFonts w:asciiTheme="minorHAnsi" w:hAnsiTheme="minorHAnsi" w:cs="Arial"/>
          <w:szCs w:val="23"/>
          <w:lang w:val="en-GB"/>
        </w:rPr>
        <w:t>.</w:t>
      </w:r>
    </w:p>
    <w:p w14:paraId="11912778" w14:textId="1C04AA9C" w:rsidR="00B455B0" w:rsidRPr="00B455B0" w:rsidRDefault="00B455B0" w:rsidP="007E57CD">
      <w:pPr>
        <w:pStyle w:val="Heading5"/>
        <w:spacing w:before="100" w:beforeAutospacing="1" w:after="100" w:afterAutospacing="1"/>
        <w:ind w:left="0" w:firstLine="567"/>
        <w:rPr>
          <w:rFonts w:asciiTheme="minorHAnsi" w:hAnsiTheme="minorHAnsi" w:cstheme="minorHAnsi"/>
          <w:i/>
          <w:iCs/>
          <w:sz w:val="22"/>
          <w:szCs w:val="22"/>
        </w:rPr>
      </w:pPr>
      <w:r w:rsidRPr="00B455B0">
        <w:rPr>
          <w:rFonts w:asciiTheme="minorHAnsi" w:hAnsiTheme="minorHAnsi" w:cstheme="minorHAnsi"/>
          <w:i/>
          <w:iCs/>
          <w:sz w:val="22"/>
          <w:szCs w:val="22"/>
        </w:rPr>
        <w:t>Schools and education</w:t>
      </w:r>
    </w:p>
    <w:p w14:paraId="46ADBAF2" w14:textId="77777777" w:rsidR="003B625A" w:rsidRPr="0086348F" w:rsidRDefault="00E623D7" w:rsidP="007E57CD">
      <w:pPr>
        <w:spacing w:before="240"/>
        <w:ind w:left="567"/>
        <w:rPr>
          <w:rFonts w:cs="Arial"/>
          <w:szCs w:val="23"/>
        </w:rPr>
      </w:pPr>
      <w:r>
        <w:rPr>
          <w:b/>
          <w:bCs/>
        </w:rPr>
        <w:t>s</w:t>
      </w:r>
      <w:r w:rsidRPr="00E67083">
        <w:rPr>
          <w:b/>
          <w:bCs/>
        </w:rPr>
        <w:t>port</w:t>
      </w:r>
      <w:r>
        <w:t xml:space="preserve">scotland </w:t>
      </w:r>
      <w:r w:rsidR="003B625A" w:rsidRPr="0039424C">
        <w:rPr>
          <w:rFonts w:cs="Arial"/>
          <w:szCs w:val="23"/>
        </w:rPr>
        <w:t>maintained regular dialogue with senior leaders to understand the challenges in sport across local authorities and to support strategic planning for sport across key programmes. We engaged directly with Active Schools and Sports Development Managers from all 32 local authorities to support delivery against the set priorities and local needs in each area.</w:t>
      </w:r>
      <w:r w:rsidR="003B625A" w:rsidRPr="0086348F">
        <w:rPr>
          <w:rFonts w:cs="Arial"/>
          <w:szCs w:val="23"/>
        </w:rPr>
        <w:t> </w:t>
      </w:r>
    </w:p>
    <w:p w14:paraId="11E9A75D" w14:textId="77777777" w:rsidR="003B625A" w:rsidRPr="0086348F" w:rsidRDefault="003B625A" w:rsidP="007E57CD">
      <w:pPr>
        <w:spacing w:before="240"/>
        <w:ind w:left="567"/>
        <w:rPr>
          <w:rFonts w:cs="Arial"/>
          <w:szCs w:val="23"/>
        </w:rPr>
      </w:pPr>
      <w:r w:rsidRPr="0086348F">
        <w:rPr>
          <w:rFonts w:cs="Arial"/>
          <w:szCs w:val="23"/>
        </w:rPr>
        <w:t>We continued to develop the Active Schools workforce. We worked closely with a range of local and national partners to deliver training sessions and workshops around coaching children, volunteer management and safeguarding young leaders in sport. We worked with Scottish Disability Sport (SDS) to develop a programme of workshops focused on Inclusive Approaches to Active Schools and Community Sport, with all 32 local authorities engaged. We developed a skills diagnostics tool for Active Schools Coordinators in partnership with the Chartered Institute for the Management of Sport and Physical Activity (CIMSPA) to inform future learning needs of the Active Schools workforce.  </w:t>
      </w:r>
    </w:p>
    <w:p w14:paraId="4BC65F45" w14:textId="77777777" w:rsidR="003B625A" w:rsidRPr="0086348F" w:rsidRDefault="003B625A" w:rsidP="007E57CD">
      <w:pPr>
        <w:spacing w:before="240"/>
        <w:ind w:left="567"/>
        <w:rPr>
          <w:rFonts w:cs="Arial"/>
          <w:szCs w:val="23"/>
        </w:rPr>
      </w:pPr>
      <w:r w:rsidRPr="0086348F">
        <w:rPr>
          <w:rFonts w:cs="Arial"/>
          <w:szCs w:val="23"/>
        </w:rPr>
        <w:t>We continued to support local partners to reduce inequalities in sport and physical activity through Active Schools and community sport hubs inclusion projects. We continue to provide independent evaluation and outcomes setting support to partners as well as establishing a community of practice to support implementation and shared learning.  </w:t>
      </w:r>
    </w:p>
    <w:p w14:paraId="24B04AC8" w14:textId="77777777" w:rsidR="00D5245F" w:rsidRDefault="003B625A" w:rsidP="00D5245F">
      <w:pPr>
        <w:spacing w:before="240"/>
        <w:ind w:left="567"/>
        <w:rPr>
          <w:rFonts w:cs="Arial"/>
          <w:szCs w:val="23"/>
        </w:rPr>
      </w:pPr>
      <w:r w:rsidRPr="0086348F">
        <w:rPr>
          <w:rFonts w:cs="Arial"/>
          <w:szCs w:val="23"/>
        </w:rPr>
        <w:t xml:space="preserve">We supported the sixth cohort of our Young People’s Sport Panel (YPSP) to deliver across their focus areas, which include access to sport, mental health, and leadership. The panel had an opportunity to present their plans to the Minister for Social Care, Mental Wellbeing and Sport. Panel members attended a range of opportunities and events, including the Race and Racism in Sport Conference, the Coaching, Officiating and Volunteering Awards, and the Scottish Sports Awards.  We launched a YPSP mentoring programme. This provides the opportunity for </w:t>
      </w:r>
      <w:r w:rsidRPr="00A153E6">
        <w:rPr>
          <w:rFonts w:cs="Arial"/>
          <w:b/>
          <w:bCs/>
          <w:szCs w:val="23"/>
        </w:rPr>
        <w:t>sport</w:t>
      </w:r>
      <w:r w:rsidRPr="0086348F">
        <w:rPr>
          <w:rFonts w:cs="Arial"/>
          <w:szCs w:val="23"/>
        </w:rPr>
        <w:t>scotland staff members to become a mentor and work with a YPSP member throughout their journey on the panel.  </w:t>
      </w:r>
    </w:p>
    <w:p w14:paraId="37BC5BA9" w14:textId="633934ED" w:rsidR="003B625A" w:rsidRPr="0086348F" w:rsidRDefault="003B625A" w:rsidP="00D5245F">
      <w:pPr>
        <w:spacing w:before="240"/>
        <w:ind w:left="567"/>
        <w:rPr>
          <w:rFonts w:cs="Arial"/>
          <w:szCs w:val="23"/>
        </w:rPr>
      </w:pPr>
      <w:r w:rsidRPr="0086348F">
        <w:rPr>
          <w:rFonts w:cs="Arial"/>
          <w:szCs w:val="23"/>
        </w:rPr>
        <w:t xml:space="preserve">We launched the Young Ambassador (YA) programme for the 2023-24 academic year. 325 schools across Scotland signed up for the programme, resulting in </w:t>
      </w:r>
      <w:r>
        <w:rPr>
          <w:rFonts w:cs="Arial"/>
          <w:szCs w:val="23"/>
        </w:rPr>
        <w:t>619</w:t>
      </w:r>
      <w:r w:rsidRPr="0086348F">
        <w:rPr>
          <w:rFonts w:cs="Arial"/>
          <w:szCs w:val="23"/>
        </w:rPr>
        <w:t xml:space="preserve"> YAs. The programme aims to equip young people with the skills to promote and inspire other young people to get involved in sport within their schools and communities. In September 2023, we delivered six Young Ambassador Conferences, alongside our YA conference delivery team, with over 300 teachers and Active Schools coordinators engaged.  </w:t>
      </w:r>
    </w:p>
    <w:p w14:paraId="501538F0" w14:textId="77777777" w:rsidR="003B625A" w:rsidRPr="0086348F" w:rsidRDefault="003B625A" w:rsidP="007E57CD">
      <w:pPr>
        <w:spacing w:before="240"/>
        <w:ind w:left="567"/>
        <w:rPr>
          <w:rFonts w:cs="Arial"/>
          <w:szCs w:val="23"/>
        </w:rPr>
      </w:pPr>
      <w:r w:rsidRPr="0086348F">
        <w:rPr>
          <w:rFonts w:cs="Arial"/>
          <w:szCs w:val="23"/>
        </w:rPr>
        <w:t>We ran Active Girls Day in October 2023. This encourages girls and young women to get involved in a day of sporting celebration with the parallel goal of increasing female participation in PE, physical activity, and sport. We promoted the positive work of our partners, and the incredible role models supporting girls' sport, across our social media channels. We provided a promotional toolkit to help allow schools, clubs, and partners tailor their offering to suit local need. We delivered a collaborative event on International Women’s Day with Sport Ireland for partners to share and learn their approach to girls and women. We also supported a period education event with over 200 secondary school girls. The aim of the event was to educate young females and establish a culture where girls work with, rather than against, their bodies in sport and exercise. </w:t>
      </w:r>
    </w:p>
    <w:p w14:paraId="59362128" w14:textId="77777777" w:rsidR="003B625A" w:rsidRPr="0086348F" w:rsidRDefault="003B625A" w:rsidP="007E57CD">
      <w:pPr>
        <w:spacing w:before="240"/>
        <w:ind w:left="567"/>
        <w:rPr>
          <w:rFonts w:cs="Arial"/>
          <w:szCs w:val="23"/>
        </w:rPr>
      </w:pPr>
      <w:r w:rsidRPr="0086348F">
        <w:rPr>
          <w:rFonts w:cs="Arial"/>
          <w:szCs w:val="23"/>
        </w:rPr>
        <w:t>We continued to support the Fit for Girls programme, in partnership with the Youth Sport Trust. It aims to increase girls’ engagement and enjoyment in physical activity and sport (PEPAS). We supported 18 young female leaders to facilitate the delivery of workshops to over 300 girls locally. This provides a platform for the voices of girls and young women to be heard and helps local practitioners understand the needs of girls and young women in sport. Our evaluation showed 81% of the workshop participants said they felt motivated to increase girls’ engagement and enjoyment in sport and physical activity. 85% reported they feel empowered to create change. </w:t>
      </w:r>
    </w:p>
    <w:p w14:paraId="0CA2F0CC" w14:textId="77777777" w:rsidR="003B625A" w:rsidRPr="0086348F" w:rsidRDefault="003B625A" w:rsidP="007E57CD">
      <w:pPr>
        <w:spacing w:before="240"/>
        <w:ind w:left="567"/>
        <w:rPr>
          <w:rFonts w:cs="Arial"/>
          <w:szCs w:val="23"/>
        </w:rPr>
      </w:pPr>
      <w:r w:rsidRPr="0086348F">
        <w:rPr>
          <w:rFonts w:cs="Arial"/>
          <w:szCs w:val="23"/>
        </w:rPr>
        <w:t>We delivered the refreshed School Sport Award for the 2023-24 academic year. The awards are designed to encourage schools to continuously improve physical education (PE) and school sport opportunities. We are engaging 981 schools, an increase from 591 in 2022-23. 144 schools were awarded a gold, 213 were awarded silver and 156 awarded bronze.  </w:t>
      </w:r>
    </w:p>
    <w:p w14:paraId="2609F9AB" w14:textId="4D88A238" w:rsidR="00F85ACF" w:rsidRPr="00D5245F" w:rsidRDefault="003B625A" w:rsidP="00D5245F">
      <w:pPr>
        <w:spacing w:before="240"/>
        <w:ind w:left="567"/>
        <w:rPr>
          <w:rFonts w:cs="Arial"/>
          <w:szCs w:val="23"/>
        </w:rPr>
      </w:pPr>
      <w:r w:rsidRPr="0086348F">
        <w:rPr>
          <w:rFonts w:cs="Arial"/>
          <w:szCs w:val="23"/>
        </w:rPr>
        <w:t>We worked with the Scottish Government, local authority partners and Scottish Swimming to explore ways in which all children can be given the opportunity to learn to swim. We funded an independent evaluation of four pilot school swimming deliver models across four local authorities. The aim was to demonstrate the impact on participants, identify key advantages / disadvantages of each approach and inform next steps. This showed a positive impact on children’s feeling towards swimming, most notably feelings of safety and confidence in the water. We supported Scottish Swimming to use the findings to inform a flexible National School Swimming Framework. </w:t>
      </w:r>
    </w:p>
    <w:p w14:paraId="7597E500" w14:textId="1643B08F" w:rsidR="00326BEC" w:rsidRDefault="00326BEC" w:rsidP="003322D2">
      <w:pPr>
        <w:pStyle w:val="n"/>
        <w:tabs>
          <w:tab w:val="clear" w:pos="794"/>
          <w:tab w:val="clear" w:pos="8959"/>
        </w:tabs>
        <w:spacing w:before="100" w:beforeAutospacing="1" w:after="100" w:afterAutospacing="1" w:line="276" w:lineRule="auto"/>
        <w:ind w:left="567" w:firstLine="0"/>
        <w:rPr>
          <w:b/>
        </w:rPr>
      </w:pPr>
      <w:r>
        <w:rPr>
          <w:b/>
        </w:rPr>
        <w:br w:type="page"/>
      </w:r>
    </w:p>
    <w:p w14:paraId="63252C23" w14:textId="0F6D77C1" w:rsidR="00B455B0" w:rsidRPr="00246F13" w:rsidRDefault="00C6495A" w:rsidP="00B455B0">
      <w:pPr>
        <w:pStyle w:val="n"/>
        <w:numPr>
          <w:ilvl w:val="0"/>
          <w:numId w:val="1"/>
        </w:numPr>
        <w:rPr>
          <w:rFonts w:asciiTheme="minorHAnsi" w:hAnsiTheme="minorHAnsi"/>
          <w:b/>
          <w:sz w:val="22"/>
          <w:szCs w:val="22"/>
        </w:rPr>
      </w:pPr>
      <w:r w:rsidRPr="00246F13">
        <w:rPr>
          <w:rFonts w:asciiTheme="minorHAnsi" w:hAnsiTheme="minorHAnsi"/>
          <w:b/>
          <w:sz w:val="22"/>
          <w:szCs w:val="22"/>
        </w:rPr>
        <w:t>Efficiency Statement</w:t>
      </w:r>
    </w:p>
    <w:p w14:paraId="7FCD7CCE" w14:textId="3DB4EBD2" w:rsidR="00C6495A" w:rsidRDefault="00C6495A" w:rsidP="00C6495A">
      <w:pPr>
        <w:pStyle w:val="n"/>
        <w:numPr>
          <w:ilvl w:val="1"/>
          <w:numId w:val="1"/>
        </w:numPr>
        <w:rPr>
          <w:rFonts w:asciiTheme="minorHAnsi" w:hAnsiTheme="minorHAnsi"/>
          <w:sz w:val="22"/>
          <w:szCs w:val="22"/>
        </w:rPr>
      </w:pPr>
      <w:r w:rsidRPr="006A6997">
        <w:rPr>
          <w:rFonts w:asciiTheme="minorHAnsi" w:hAnsiTheme="minorHAnsi"/>
          <w:b/>
          <w:sz w:val="22"/>
          <w:szCs w:val="22"/>
        </w:rPr>
        <w:t>sport</w:t>
      </w:r>
      <w:r>
        <w:rPr>
          <w:rFonts w:asciiTheme="minorHAnsi" w:hAnsiTheme="minorHAnsi"/>
          <w:sz w:val="22"/>
          <w:szCs w:val="22"/>
        </w:rPr>
        <w:t>scotland continues to be focused on efficiency savings</w:t>
      </w:r>
      <w:r w:rsidR="00650441">
        <w:rPr>
          <w:rFonts w:asciiTheme="minorHAnsi" w:hAnsiTheme="minorHAnsi"/>
          <w:sz w:val="22"/>
          <w:szCs w:val="22"/>
        </w:rPr>
        <w:t xml:space="preserve">, especially through </w:t>
      </w:r>
      <w:r w:rsidR="00127CFC">
        <w:rPr>
          <w:rFonts w:asciiTheme="minorHAnsi" w:hAnsiTheme="minorHAnsi"/>
          <w:sz w:val="22"/>
          <w:szCs w:val="22"/>
        </w:rPr>
        <w:t>effective</w:t>
      </w:r>
      <w:r w:rsidR="00650441">
        <w:rPr>
          <w:rFonts w:asciiTheme="minorHAnsi" w:hAnsiTheme="minorHAnsi"/>
          <w:sz w:val="22"/>
          <w:szCs w:val="22"/>
        </w:rPr>
        <w:t xml:space="preserve"> </w:t>
      </w:r>
      <w:r w:rsidR="00D5245F">
        <w:rPr>
          <w:rFonts w:asciiTheme="minorHAnsi" w:hAnsiTheme="minorHAnsi"/>
          <w:sz w:val="22"/>
          <w:szCs w:val="22"/>
        </w:rPr>
        <w:t>use of</w:t>
      </w:r>
      <w:r w:rsidR="00127CFC">
        <w:rPr>
          <w:rFonts w:asciiTheme="minorHAnsi" w:hAnsiTheme="minorHAnsi"/>
          <w:sz w:val="22"/>
          <w:szCs w:val="22"/>
        </w:rPr>
        <w:t xml:space="preserve"> best value</w:t>
      </w:r>
      <w:r w:rsidR="00650441">
        <w:rPr>
          <w:rFonts w:asciiTheme="minorHAnsi" w:hAnsiTheme="minorHAnsi"/>
          <w:sz w:val="22"/>
          <w:szCs w:val="22"/>
        </w:rPr>
        <w:t xml:space="preserve"> procurement, both in terms of running competitive procurement tender processes and us</w:t>
      </w:r>
      <w:r w:rsidR="00AB77BF">
        <w:rPr>
          <w:rFonts w:asciiTheme="minorHAnsi" w:hAnsiTheme="minorHAnsi"/>
          <w:sz w:val="22"/>
          <w:szCs w:val="22"/>
        </w:rPr>
        <w:t>ing</w:t>
      </w:r>
      <w:r w:rsidR="00650441">
        <w:rPr>
          <w:rFonts w:asciiTheme="minorHAnsi" w:hAnsiTheme="minorHAnsi"/>
          <w:sz w:val="22"/>
          <w:szCs w:val="22"/>
        </w:rPr>
        <w:t xml:space="preserve"> centrally negotiated Government frameworks, and through efficient operation of our estate</w:t>
      </w:r>
      <w:r>
        <w:rPr>
          <w:rFonts w:asciiTheme="minorHAnsi" w:hAnsiTheme="minorHAnsi"/>
          <w:sz w:val="22"/>
          <w:szCs w:val="22"/>
        </w:rPr>
        <w:t>.</w:t>
      </w:r>
    </w:p>
    <w:p w14:paraId="2BA50B7F" w14:textId="046C5CFA" w:rsidR="00C6495A" w:rsidRPr="00246F13" w:rsidRDefault="00C6495A" w:rsidP="00C6495A">
      <w:pPr>
        <w:pStyle w:val="n"/>
        <w:numPr>
          <w:ilvl w:val="1"/>
          <w:numId w:val="1"/>
        </w:numPr>
        <w:rPr>
          <w:rFonts w:asciiTheme="minorHAnsi" w:hAnsiTheme="minorHAnsi"/>
          <w:sz w:val="22"/>
          <w:szCs w:val="22"/>
        </w:rPr>
      </w:pPr>
      <w:r w:rsidRPr="00246F13">
        <w:rPr>
          <w:rFonts w:asciiTheme="minorHAnsi" w:hAnsiTheme="minorHAnsi"/>
          <w:sz w:val="22"/>
          <w:szCs w:val="22"/>
        </w:rPr>
        <w:t>Key areas of focus for savings in the year ended 31 March 20</w:t>
      </w:r>
      <w:r w:rsidR="00C03207" w:rsidRPr="00246F13">
        <w:rPr>
          <w:rFonts w:asciiTheme="minorHAnsi" w:hAnsiTheme="minorHAnsi"/>
          <w:sz w:val="22"/>
          <w:szCs w:val="22"/>
        </w:rPr>
        <w:t>2</w:t>
      </w:r>
      <w:r w:rsidR="001C2076" w:rsidRPr="00246F13">
        <w:rPr>
          <w:rFonts w:asciiTheme="minorHAnsi" w:hAnsiTheme="minorHAnsi"/>
          <w:sz w:val="22"/>
          <w:szCs w:val="22"/>
        </w:rPr>
        <w:t>4</w:t>
      </w:r>
      <w:r w:rsidRPr="00246F13">
        <w:rPr>
          <w:rFonts w:asciiTheme="minorHAnsi" w:hAnsiTheme="minorHAnsi"/>
          <w:sz w:val="22"/>
          <w:szCs w:val="22"/>
        </w:rPr>
        <w:t xml:space="preserve"> included:</w:t>
      </w:r>
    </w:p>
    <w:p w14:paraId="0ED3518B" w14:textId="57D58D7A" w:rsidR="006A6997" w:rsidRPr="00246F13" w:rsidRDefault="00C6495A" w:rsidP="00C6495A">
      <w:pPr>
        <w:pStyle w:val="n"/>
        <w:numPr>
          <w:ilvl w:val="0"/>
          <w:numId w:val="4"/>
        </w:numPr>
        <w:rPr>
          <w:rFonts w:asciiTheme="minorHAnsi" w:hAnsiTheme="minorHAnsi" w:cstheme="minorHAnsi"/>
          <w:sz w:val="22"/>
          <w:szCs w:val="22"/>
        </w:rPr>
      </w:pPr>
      <w:r w:rsidRPr="00246F13">
        <w:rPr>
          <w:rFonts w:asciiTheme="minorHAnsi" w:hAnsiTheme="minorHAnsi" w:cstheme="minorHAnsi"/>
          <w:sz w:val="22"/>
          <w:szCs w:val="22"/>
        </w:rPr>
        <w:t>Procurement – we continue</w:t>
      </w:r>
      <w:r w:rsidR="00AB77BF" w:rsidRPr="00246F13">
        <w:rPr>
          <w:rFonts w:asciiTheme="minorHAnsi" w:hAnsiTheme="minorHAnsi" w:cstheme="minorHAnsi"/>
          <w:sz w:val="22"/>
          <w:szCs w:val="22"/>
        </w:rPr>
        <w:t>d</w:t>
      </w:r>
      <w:r w:rsidRPr="00246F13">
        <w:rPr>
          <w:rFonts w:asciiTheme="minorHAnsi" w:hAnsiTheme="minorHAnsi" w:cstheme="minorHAnsi"/>
          <w:sz w:val="22"/>
          <w:szCs w:val="22"/>
        </w:rPr>
        <w:t xml:space="preserve"> to work to identify opportunities to get best value from tendering for the supply of goods and services</w:t>
      </w:r>
      <w:r w:rsidR="00473812" w:rsidRPr="00246F13">
        <w:rPr>
          <w:rFonts w:asciiTheme="minorHAnsi" w:hAnsiTheme="minorHAnsi" w:cstheme="minorHAnsi"/>
          <w:sz w:val="22"/>
          <w:szCs w:val="22"/>
        </w:rPr>
        <w:t xml:space="preserve"> and through good contract management</w:t>
      </w:r>
      <w:r w:rsidRPr="00246F13">
        <w:rPr>
          <w:rFonts w:asciiTheme="minorHAnsi" w:hAnsiTheme="minorHAnsi" w:cstheme="minorHAnsi"/>
          <w:sz w:val="22"/>
          <w:szCs w:val="22"/>
        </w:rPr>
        <w:t xml:space="preserve">.  </w:t>
      </w:r>
    </w:p>
    <w:p w14:paraId="4A3F0B3C" w14:textId="09C1C74F" w:rsidR="00AC256A" w:rsidRPr="00246F13" w:rsidRDefault="00AC256A" w:rsidP="00AC256A">
      <w:pPr>
        <w:pStyle w:val="n"/>
        <w:numPr>
          <w:ilvl w:val="1"/>
          <w:numId w:val="4"/>
        </w:numPr>
        <w:rPr>
          <w:rFonts w:asciiTheme="minorHAnsi" w:hAnsiTheme="minorHAnsi"/>
          <w:sz w:val="22"/>
          <w:szCs w:val="22"/>
        </w:rPr>
      </w:pPr>
      <w:r w:rsidRPr="00246F13">
        <w:rPr>
          <w:rFonts w:asciiTheme="minorHAnsi" w:hAnsiTheme="minorHAnsi"/>
          <w:sz w:val="22"/>
          <w:szCs w:val="22"/>
        </w:rPr>
        <w:t>Where a requirement can be met and value for money achieved through the use of an existing contract put in place b</w:t>
      </w:r>
      <w:r w:rsidR="009235D7" w:rsidRPr="00246F13">
        <w:rPr>
          <w:rFonts w:asciiTheme="minorHAnsi" w:hAnsiTheme="minorHAnsi"/>
          <w:sz w:val="22"/>
          <w:szCs w:val="22"/>
        </w:rPr>
        <w:t>y</w:t>
      </w:r>
      <w:r w:rsidRPr="00246F13">
        <w:rPr>
          <w:rFonts w:asciiTheme="minorHAnsi" w:hAnsiTheme="minorHAnsi"/>
          <w:sz w:val="22"/>
          <w:szCs w:val="22"/>
        </w:rPr>
        <w:t xml:space="preserve"> the Scottish Procurement and Commercial Directorate or another collaborative procurement agency such as Crown Commercial Service,</w:t>
      </w:r>
      <w:r w:rsidR="0081327D" w:rsidRPr="00246F13">
        <w:rPr>
          <w:rFonts w:asciiTheme="minorHAnsi" w:hAnsiTheme="minorHAnsi"/>
          <w:sz w:val="22"/>
          <w:szCs w:val="22"/>
        </w:rPr>
        <w:t xml:space="preserve"> </w:t>
      </w:r>
      <w:r w:rsidRPr="00246F13">
        <w:rPr>
          <w:rFonts w:asciiTheme="minorHAnsi" w:hAnsiTheme="minorHAnsi"/>
          <w:b/>
          <w:bCs/>
          <w:sz w:val="22"/>
          <w:szCs w:val="22"/>
        </w:rPr>
        <w:t>sport</w:t>
      </w:r>
      <w:r w:rsidRPr="00246F13">
        <w:rPr>
          <w:rFonts w:asciiTheme="minorHAnsi" w:hAnsiTheme="minorHAnsi"/>
          <w:sz w:val="22"/>
          <w:szCs w:val="22"/>
        </w:rPr>
        <w:t>scotland’s policy is to utilise these contracts.</w:t>
      </w:r>
    </w:p>
    <w:p w14:paraId="5B1A08DC" w14:textId="05B859AF" w:rsidR="00AC256A" w:rsidRPr="00246F13" w:rsidRDefault="00AC256A" w:rsidP="00AC256A">
      <w:pPr>
        <w:pStyle w:val="n"/>
        <w:numPr>
          <w:ilvl w:val="1"/>
          <w:numId w:val="4"/>
        </w:numPr>
        <w:rPr>
          <w:rFonts w:asciiTheme="minorHAnsi" w:hAnsiTheme="minorHAnsi"/>
          <w:sz w:val="22"/>
          <w:szCs w:val="22"/>
        </w:rPr>
      </w:pPr>
      <w:r w:rsidRPr="00246F13">
        <w:rPr>
          <w:rFonts w:asciiTheme="minorHAnsi" w:hAnsiTheme="minorHAnsi"/>
          <w:sz w:val="22"/>
          <w:szCs w:val="22"/>
        </w:rPr>
        <w:t xml:space="preserve">During the period, </w:t>
      </w:r>
      <w:r w:rsidRPr="00246F13">
        <w:rPr>
          <w:rFonts w:asciiTheme="minorHAnsi" w:hAnsiTheme="minorHAnsi"/>
          <w:b/>
          <w:bCs/>
          <w:sz w:val="22"/>
          <w:szCs w:val="22"/>
        </w:rPr>
        <w:t>sport</w:t>
      </w:r>
      <w:r w:rsidRPr="00246F13">
        <w:rPr>
          <w:rFonts w:asciiTheme="minorHAnsi" w:hAnsiTheme="minorHAnsi"/>
          <w:sz w:val="22"/>
          <w:szCs w:val="22"/>
        </w:rPr>
        <w:t>scotland spent £</w:t>
      </w:r>
      <w:r w:rsidR="001D550C" w:rsidRPr="00246F13">
        <w:rPr>
          <w:rFonts w:asciiTheme="minorHAnsi" w:hAnsiTheme="minorHAnsi"/>
          <w:sz w:val="22"/>
          <w:szCs w:val="22"/>
        </w:rPr>
        <w:t>379,922</w:t>
      </w:r>
      <w:r w:rsidRPr="00246F13">
        <w:rPr>
          <w:rFonts w:asciiTheme="minorHAnsi" w:hAnsiTheme="minorHAnsi"/>
          <w:sz w:val="22"/>
          <w:szCs w:val="22"/>
        </w:rPr>
        <w:t xml:space="preserve"> through </w:t>
      </w:r>
      <w:r w:rsidR="00F61077" w:rsidRPr="00246F13">
        <w:rPr>
          <w:rFonts w:asciiTheme="minorHAnsi" w:hAnsiTheme="minorHAnsi"/>
          <w:sz w:val="22"/>
          <w:szCs w:val="22"/>
        </w:rPr>
        <w:t>the</w:t>
      </w:r>
      <w:r w:rsidR="00CC7807" w:rsidRPr="00246F13">
        <w:rPr>
          <w:rFonts w:asciiTheme="minorHAnsi" w:hAnsiTheme="minorHAnsi"/>
          <w:sz w:val="22"/>
          <w:szCs w:val="22"/>
        </w:rPr>
        <w:t xml:space="preserve"> </w:t>
      </w:r>
      <w:r w:rsidRPr="00246F13">
        <w:rPr>
          <w:rFonts w:asciiTheme="minorHAnsi" w:hAnsiTheme="minorHAnsi"/>
          <w:sz w:val="22"/>
          <w:szCs w:val="22"/>
        </w:rPr>
        <w:t>Scottish Government Frameworks, resulting in savings of £</w:t>
      </w:r>
      <w:r w:rsidR="00246F13" w:rsidRPr="00246F13">
        <w:rPr>
          <w:rFonts w:asciiTheme="minorHAnsi" w:hAnsiTheme="minorHAnsi"/>
          <w:sz w:val="22"/>
          <w:szCs w:val="22"/>
        </w:rPr>
        <w:t>175,473</w:t>
      </w:r>
      <w:r w:rsidRPr="00246F13">
        <w:rPr>
          <w:rFonts w:asciiTheme="minorHAnsi" w:hAnsiTheme="minorHAnsi"/>
          <w:sz w:val="22"/>
          <w:szCs w:val="22"/>
        </w:rPr>
        <w:t xml:space="preserve">. </w:t>
      </w:r>
    </w:p>
    <w:p w14:paraId="78B7B823" w14:textId="647CEE1E" w:rsidR="00ED236C" w:rsidRDefault="00B14C09" w:rsidP="00ED236C">
      <w:pPr>
        <w:pStyle w:val="n"/>
        <w:numPr>
          <w:ilvl w:val="1"/>
          <w:numId w:val="4"/>
        </w:numPr>
        <w:rPr>
          <w:rFonts w:asciiTheme="minorHAnsi" w:hAnsiTheme="minorHAnsi"/>
          <w:sz w:val="22"/>
          <w:szCs w:val="22"/>
        </w:rPr>
      </w:pPr>
      <w:r w:rsidRPr="00B54B5B">
        <w:rPr>
          <w:rFonts w:asciiTheme="minorHAnsi" w:hAnsiTheme="minorHAnsi"/>
          <w:b/>
          <w:bCs/>
          <w:sz w:val="22"/>
          <w:szCs w:val="22"/>
        </w:rPr>
        <w:t>sport</w:t>
      </w:r>
      <w:r w:rsidRPr="00B14C09">
        <w:rPr>
          <w:rFonts w:asciiTheme="minorHAnsi" w:hAnsiTheme="minorHAnsi"/>
          <w:sz w:val="22"/>
          <w:szCs w:val="22"/>
        </w:rPr>
        <w:t>scotland also spent £611,411 with Crown Commercial Service, NHS and other Frameworks realising total savings of £171,023.</w:t>
      </w:r>
    </w:p>
    <w:p w14:paraId="7603B652" w14:textId="54CDDD82" w:rsidR="001B3120" w:rsidRPr="00ED236C" w:rsidRDefault="00AC256A" w:rsidP="00ED236C">
      <w:pPr>
        <w:pStyle w:val="n"/>
        <w:numPr>
          <w:ilvl w:val="1"/>
          <w:numId w:val="4"/>
        </w:numPr>
        <w:rPr>
          <w:rFonts w:asciiTheme="minorHAnsi" w:hAnsiTheme="minorHAnsi"/>
          <w:sz w:val="22"/>
          <w:szCs w:val="22"/>
        </w:rPr>
      </w:pPr>
      <w:r w:rsidRPr="00ED236C">
        <w:rPr>
          <w:rFonts w:asciiTheme="minorHAnsi" w:hAnsiTheme="minorHAnsi"/>
          <w:sz w:val="22"/>
          <w:szCs w:val="22"/>
        </w:rPr>
        <w:t xml:space="preserve">In addition, savings of </w:t>
      </w:r>
      <w:r w:rsidR="008C5C7E" w:rsidRPr="00ED236C">
        <w:rPr>
          <w:rFonts w:asciiTheme="minorHAnsi" w:hAnsiTheme="minorHAnsi"/>
          <w:sz w:val="22"/>
          <w:szCs w:val="22"/>
        </w:rPr>
        <w:t>£29,977 were realised through locally procured category C contracts (total award value of £944,711)</w:t>
      </w:r>
      <w:r w:rsidR="00ED236C" w:rsidRPr="00ED236C">
        <w:rPr>
          <w:rFonts w:asciiTheme="minorHAnsi" w:hAnsiTheme="minorHAnsi"/>
          <w:sz w:val="22"/>
          <w:szCs w:val="22"/>
        </w:rPr>
        <w:t>.</w:t>
      </w:r>
    </w:p>
    <w:p w14:paraId="16614CFA" w14:textId="31178D24" w:rsidR="006A6997" w:rsidRPr="008C5C7E" w:rsidRDefault="006A6997" w:rsidP="00C6495A">
      <w:pPr>
        <w:pStyle w:val="n"/>
        <w:numPr>
          <w:ilvl w:val="0"/>
          <w:numId w:val="4"/>
        </w:numPr>
        <w:rPr>
          <w:rFonts w:asciiTheme="minorHAnsi" w:hAnsiTheme="minorHAnsi"/>
          <w:sz w:val="22"/>
          <w:szCs w:val="22"/>
        </w:rPr>
      </w:pPr>
      <w:r w:rsidRPr="008C5C7E">
        <w:rPr>
          <w:rFonts w:asciiTheme="minorHAnsi" w:hAnsiTheme="minorHAnsi"/>
          <w:sz w:val="22"/>
          <w:szCs w:val="22"/>
        </w:rPr>
        <w:t xml:space="preserve">Estate – we regularly review </w:t>
      </w:r>
      <w:r w:rsidR="00650441" w:rsidRPr="008C5C7E">
        <w:rPr>
          <w:rFonts w:asciiTheme="minorHAnsi" w:hAnsiTheme="minorHAnsi"/>
          <w:sz w:val="22"/>
          <w:szCs w:val="22"/>
        </w:rPr>
        <w:t>the</w:t>
      </w:r>
      <w:r w:rsidRPr="008C5C7E">
        <w:rPr>
          <w:rFonts w:asciiTheme="minorHAnsi" w:hAnsiTheme="minorHAnsi"/>
          <w:sz w:val="22"/>
          <w:szCs w:val="22"/>
        </w:rPr>
        <w:t xml:space="preserve"> requirement</w:t>
      </w:r>
      <w:r w:rsidR="00650441" w:rsidRPr="008C5C7E">
        <w:rPr>
          <w:rFonts w:asciiTheme="minorHAnsi" w:hAnsiTheme="minorHAnsi"/>
          <w:sz w:val="22"/>
          <w:szCs w:val="22"/>
        </w:rPr>
        <w:t>s of our estate</w:t>
      </w:r>
      <w:r w:rsidRPr="008C5C7E">
        <w:rPr>
          <w:rFonts w:asciiTheme="minorHAnsi" w:hAnsiTheme="minorHAnsi"/>
          <w:sz w:val="22"/>
          <w:szCs w:val="22"/>
        </w:rPr>
        <w:t xml:space="preserve"> to minimise costs and maximise revenue where possible, including:</w:t>
      </w:r>
    </w:p>
    <w:p w14:paraId="1F682D3E" w14:textId="7D0A573D" w:rsidR="006A6997" w:rsidRPr="002B5C5A" w:rsidRDefault="009D4287" w:rsidP="006A6997">
      <w:pPr>
        <w:pStyle w:val="n"/>
        <w:numPr>
          <w:ilvl w:val="1"/>
          <w:numId w:val="4"/>
        </w:numPr>
        <w:rPr>
          <w:rFonts w:asciiTheme="minorHAnsi" w:hAnsiTheme="minorHAnsi"/>
          <w:sz w:val="22"/>
          <w:szCs w:val="22"/>
        </w:rPr>
      </w:pPr>
      <w:r w:rsidRPr="002B5C5A">
        <w:rPr>
          <w:rFonts w:asciiTheme="minorHAnsi" w:hAnsiTheme="minorHAnsi"/>
          <w:sz w:val="22"/>
          <w:szCs w:val="22"/>
        </w:rPr>
        <w:t>Active maintenance of our t</w:t>
      </w:r>
      <w:r w:rsidR="00AC256A">
        <w:rPr>
          <w:rFonts w:asciiTheme="minorHAnsi" w:hAnsiTheme="minorHAnsi"/>
          <w:sz w:val="22"/>
          <w:szCs w:val="22"/>
        </w:rPr>
        <w:t>wo</w:t>
      </w:r>
      <w:r w:rsidRPr="002B5C5A">
        <w:rPr>
          <w:rFonts w:asciiTheme="minorHAnsi" w:hAnsiTheme="minorHAnsi"/>
          <w:sz w:val="22"/>
          <w:szCs w:val="22"/>
        </w:rPr>
        <w:t xml:space="preserve"> national centres to ensure that they are maintained in </w:t>
      </w:r>
      <w:r w:rsidR="002B5C5A" w:rsidRPr="002B5C5A">
        <w:rPr>
          <w:rFonts w:asciiTheme="minorHAnsi" w:hAnsiTheme="minorHAnsi"/>
          <w:sz w:val="22"/>
          <w:szCs w:val="22"/>
        </w:rPr>
        <w:t>appropriate</w:t>
      </w:r>
      <w:r w:rsidRPr="002B5C5A">
        <w:rPr>
          <w:rFonts w:asciiTheme="minorHAnsi" w:hAnsiTheme="minorHAnsi"/>
          <w:sz w:val="22"/>
          <w:szCs w:val="22"/>
        </w:rPr>
        <w:t xml:space="preserve"> condition</w:t>
      </w:r>
      <w:r w:rsidR="002B5C5A" w:rsidRPr="002B5C5A">
        <w:rPr>
          <w:rFonts w:asciiTheme="minorHAnsi" w:hAnsiTheme="minorHAnsi"/>
          <w:sz w:val="22"/>
          <w:szCs w:val="22"/>
        </w:rPr>
        <w:t xml:space="preserve"> to optimise revenue generating </w:t>
      </w:r>
      <w:r w:rsidR="00D5245F" w:rsidRPr="002B5C5A">
        <w:rPr>
          <w:rFonts w:asciiTheme="minorHAnsi" w:hAnsiTheme="minorHAnsi"/>
          <w:sz w:val="22"/>
          <w:szCs w:val="22"/>
        </w:rPr>
        <w:t>opportunities</w:t>
      </w:r>
      <w:r w:rsidR="00D5245F">
        <w:rPr>
          <w:rFonts w:asciiTheme="minorHAnsi" w:hAnsiTheme="minorHAnsi"/>
          <w:sz w:val="22"/>
          <w:szCs w:val="22"/>
        </w:rPr>
        <w:t>;</w:t>
      </w:r>
    </w:p>
    <w:p w14:paraId="6AF353EC" w14:textId="10C1CCC7" w:rsidR="006A6997" w:rsidRPr="002B5C5A" w:rsidRDefault="006A6997" w:rsidP="006A6997">
      <w:pPr>
        <w:pStyle w:val="n"/>
        <w:numPr>
          <w:ilvl w:val="1"/>
          <w:numId w:val="4"/>
        </w:numPr>
        <w:rPr>
          <w:rFonts w:asciiTheme="minorHAnsi" w:hAnsiTheme="minorHAnsi"/>
          <w:sz w:val="22"/>
          <w:szCs w:val="22"/>
        </w:rPr>
      </w:pPr>
      <w:r w:rsidRPr="002B5C5A">
        <w:rPr>
          <w:rFonts w:asciiTheme="minorHAnsi" w:hAnsiTheme="minorHAnsi"/>
          <w:sz w:val="22"/>
          <w:szCs w:val="22"/>
        </w:rPr>
        <w:t>Review of existing regional offices to identify opportunities to co</w:t>
      </w:r>
      <w:r w:rsidR="009D4287" w:rsidRPr="002B5C5A">
        <w:rPr>
          <w:rFonts w:asciiTheme="minorHAnsi" w:hAnsiTheme="minorHAnsi"/>
          <w:sz w:val="22"/>
          <w:szCs w:val="22"/>
        </w:rPr>
        <w:t>-</w:t>
      </w:r>
      <w:r w:rsidRPr="002B5C5A">
        <w:rPr>
          <w:rFonts w:asciiTheme="minorHAnsi" w:hAnsiTheme="minorHAnsi"/>
          <w:sz w:val="22"/>
          <w:szCs w:val="22"/>
        </w:rPr>
        <w:t>locate with partners</w:t>
      </w:r>
      <w:r w:rsidR="00AB77BF">
        <w:rPr>
          <w:rFonts w:asciiTheme="minorHAnsi" w:hAnsiTheme="minorHAnsi"/>
          <w:sz w:val="22"/>
          <w:szCs w:val="22"/>
        </w:rPr>
        <w:t xml:space="preserve"> and</w:t>
      </w:r>
      <w:r w:rsidR="00D5245F">
        <w:rPr>
          <w:rFonts w:asciiTheme="minorHAnsi" w:hAnsiTheme="minorHAnsi"/>
          <w:sz w:val="22"/>
          <w:szCs w:val="22"/>
        </w:rPr>
        <w:t>;</w:t>
      </w:r>
    </w:p>
    <w:p w14:paraId="70F39121" w14:textId="689BF14D" w:rsidR="00C6495A" w:rsidRPr="002B5C5A" w:rsidRDefault="006A6997" w:rsidP="00806012">
      <w:pPr>
        <w:pStyle w:val="n"/>
        <w:numPr>
          <w:ilvl w:val="1"/>
          <w:numId w:val="4"/>
        </w:numPr>
        <w:rPr>
          <w:rFonts w:asciiTheme="minorHAnsi" w:hAnsiTheme="minorHAnsi"/>
          <w:sz w:val="22"/>
          <w:szCs w:val="22"/>
        </w:rPr>
      </w:pPr>
      <w:r w:rsidRPr="002B5C5A">
        <w:rPr>
          <w:rFonts w:asciiTheme="minorHAnsi" w:hAnsiTheme="minorHAnsi"/>
          <w:sz w:val="22"/>
          <w:szCs w:val="22"/>
        </w:rPr>
        <w:t>Continu</w:t>
      </w:r>
      <w:r w:rsidR="00AB77BF">
        <w:rPr>
          <w:rFonts w:asciiTheme="minorHAnsi" w:hAnsiTheme="minorHAnsi"/>
          <w:sz w:val="22"/>
          <w:szCs w:val="22"/>
        </w:rPr>
        <w:t>e</w:t>
      </w:r>
      <w:r w:rsidRPr="002B5C5A">
        <w:rPr>
          <w:rFonts w:asciiTheme="minorHAnsi" w:hAnsiTheme="minorHAnsi"/>
          <w:sz w:val="22"/>
          <w:szCs w:val="22"/>
        </w:rPr>
        <w:t xml:space="preserve"> to sublet excess space in </w:t>
      </w:r>
      <w:r w:rsidR="00AB77BF">
        <w:rPr>
          <w:rFonts w:asciiTheme="minorHAnsi" w:hAnsiTheme="minorHAnsi"/>
          <w:sz w:val="22"/>
          <w:szCs w:val="22"/>
        </w:rPr>
        <w:t xml:space="preserve">the </w:t>
      </w:r>
      <w:r w:rsidRPr="002B5C5A">
        <w:rPr>
          <w:rFonts w:asciiTheme="minorHAnsi" w:hAnsiTheme="minorHAnsi"/>
          <w:sz w:val="22"/>
          <w:szCs w:val="22"/>
        </w:rPr>
        <w:t>House of Sport at Caledonia House, Edinburgh to S</w:t>
      </w:r>
      <w:r w:rsidR="00AB77BF">
        <w:rPr>
          <w:rFonts w:asciiTheme="minorHAnsi" w:hAnsiTheme="minorHAnsi"/>
          <w:sz w:val="22"/>
          <w:szCs w:val="22"/>
        </w:rPr>
        <w:t>GBs and other sports related bodies.</w:t>
      </w:r>
    </w:p>
    <w:sectPr w:rsidR="00C6495A" w:rsidRPr="002B5C5A" w:rsidSect="00650441">
      <w:footerReference w:type="default" r:id="rId15"/>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E8CB" w14:textId="77777777" w:rsidR="00645E32" w:rsidRDefault="00645E32" w:rsidP="005B4C21">
      <w:pPr>
        <w:spacing w:after="0" w:line="240" w:lineRule="auto"/>
      </w:pPr>
      <w:r>
        <w:separator/>
      </w:r>
    </w:p>
  </w:endnote>
  <w:endnote w:type="continuationSeparator" w:id="0">
    <w:p w14:paraId="68837BCB" w14:textId="77777777" w:rsidR="00645E32" w:rsidRDefault="00645E32" w:rsidP="005B4C21">
      <w:pPr>
        <w:spacing w:after="0" w:line="240" w:lineRule="auto"/>
      </w:pPr>
      <w:r>
        <w:continuationSeparator/>
      </w:r>
    </w:p>
  </w:endnote>
  <w:endnote w:type="continuationNotice" w:id="1">
    <w:p w14:paraId="50AA5C0C" w14:textId="77777777" w:rsidR="00645E32" w:rsidRDefault="00645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508592"/>
      <w:docPartObj>
        <w:docPartGallery w:val="Page Numbers (Bottom of Page)"/>
        <w:docPartUnique/>
      </w:docPartObj>
    </w:sdtPr>
    <w:sdtEndPr>
      <w:rPr>
        <w:noProof/>
      </w:rPr>
    </w:sdtEndPr>
    <w:sdtContent>
      <w:p w14:paraId="363B3692" w14:textId="3444DB97" w:rsidR="008C610E" w:rsidRDefault="008C6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8841E" w14:textId="77777777" w:rsidR="008C610E" w:rsidRDefault="008C610E">
    <w:pPr>
      <w:pStyle w:val="Footer"/>
    </w:pPr>
  </w:p>
  <w:p w14:paraId="73C2147C" w14:textId="77777777" w:rsidR="0050065E" w:rsidRDefault="00500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68E11" w14:textId="77777777" w:rsidR="00645E32" w:rsidRDefault="00645E32" w:rsidP="005B4C21">
      <w:pPr>
        <w:spacing w:after="0" w:line="240" w:lineRule="auto"/>
      </w:pPr>
      <w:r>
        <w:separator/>
      </w:r>
    </w:p>
  </w:footnote>
  <w:footnote w:type="continuationSeparator" w:id="0">
    <w:p w14:paraId="2B25A96B" w14:textId="77777777" w:rsidR="00645E32" w:rsidRDefault="00645E32" w:rsidP="005B4C21">
      <w:pPr>
        <w:spacing w:after="0" w:line="240" w:lineRule="auto"/>
      </w:pPr>
      <w:r>
        <w:continuationSeparator/>
      </w:r>
    </w:p>
  </w:footnote>
  <w:footnote w:type="continuationNotice" w:id="1">
    <w:p w14:paraId="013E7D2D" w14:textId="77777777" w:rsidR="00645E32" w:rsidRDefault="00645E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F6318"/>
    <w:multiLevelType w:val="hybridMultilevel"/>
    <w:tmpl w:val="BB6806BC"/>
    <w:lvl w:ilvl="0" w:tplc="08090001">
      <w:start w:val="1"/>
      <w:numFmt w:val="bullet"/>
      <w:lvlText w:val=""/>
      <w:lvlJc w:val="left"/>
      <w:pPr>
        <w:ind w:left="1683" w:hanging="360"/>
      </w:pPr>
      <w:rPr>
        <w:rFonts w:ascii="Symbol" w:hAnsi="Symbol" w:hint="default"/>
      </w:rPr>
    </w:lvl>
    <w:lvl w:ilvl="1" w:tplc="08090003">
      <w:start w:val="1"/>
      <w:numFmt w:val="bullet"/>
      <w:lvlText w:val="o"/>
      <w:lvlJc w:val="left"/>
      <w:pPr>
        <w:ind w:left="2403" w:hanging="360"/>
      </w:pPr>
      <w:rPr>
        <w:rFonts w:ascii="Courier New" w:hAnsi="Courier New" w:cs="Courier New" w:hint="default"/>
      </w:rPr>
    </w:lvl>
    <w:lvl w:ilvl="2" w:tplc="08090005">
      <w:start w:val="1"/>
      <w:numFmt w:val="bullet"/>
      <w:lvlText w:val=""/>
      <w:lvlJc w:val="left"/>
      <w:pPr>
        <w:ind w:left="3123" w:hanging="360"/>
      </w:pPr>
      <w:rPr>
        <w:rFonts w:ascii="Wingdings" w:hAnsi="Wingdings" w:hint="default"/>
      </w:rPr>
    </w:lvl>
    <w:lvl w:ilvl="3" w:tplc="08090001" w:tentative="1">
      <w:start w:val="1"/>
      <w:numFmt w:val="bullet"/>
      <w:lvlText w:val=""/>
      <w:lvlJc w:val="left"/>
      <w:pPr>
        <w:ind w:left="3843" w:hanging="360"/>
      </w:pPr>
      <w:rPr>
        <w:rFonts w:ascii="Symbol" w:hAnsi="Symbol" w:hint="default"/>
      </w:rPr>
    </w:lvl>
    <w:lvl w:ilvl="4" w:tplc="08090003" w:tentative="1">
      <w:start w:val="1"/>
      <w:numFmt w:val="bullet"/>
      <w:lvlText w:val="o"/>
      <w:lvlJc w:val="left"/>
      <w:pPr>
        <w:ind w:left="4563" w:hanging="360"/>
      </w:pPr>
      <w:rPr>
        <w:rFonts w:ascii="Courier New" w:hAnsi="Courier New" w:cs="Courier New" w:hint="default"/>
      </w:rPr>
    </w:lvl>
    <w:lvl w:ilvl="5" w:tplc="08090005" w:tentative="1">
      <w:start w:val="1"/>
      <w:numFmt w:val="bullet"/>
      <w:lvlText w:val=""/>
      <w:lvlJc w:val="left"/>
      <w:pPr>
        <w:ind w:left="5283" w:hanging="360"/>
      </w:pPr>
      <w:rPr>
        <w:rFonts w:ascii="Wingdings" w:hAnsi="Wingdings" w:hint="default"/>
      </w:rPr>
    </w:lvl>
    <w:lvl w:ilvl="6" w:tplc="08090001" w:tentative="1">
      <w:start w:val="1"/>
      <w:numFmt w:val="bullet"/>
      <w:lvlText w:val=""/>
      <w:lvlJc w:val="left"/>
      <w:pPr>
        <w:ind w:left="6003" w:hanging="360"/>
      </w:pPr>
      <w:rPr>
        <w:rFonts w:ascii="Symbol" w:hAnsi="Symbol" w:hint="default"/>
      </w:rPr>
    </w:lvl>
    <w:lvl w:ilvl="7" w:tplc="08090003" w:tentative="1">
      <w:start w:val="1"/>
      <w:numFmt w:val="bullet"/>
      <w:lvlText w:val="o"/>
      <w:lvlJc w:val="left"/>
      <w:pPr>
        <w:ind w:left="6723" w:hanging="360"/>
      </w:pPr>
      <w:rPr>
        <w:rFonts w:ascii="Courier New" w:hAnsi="Courier New" w:cs="Courier New" w:hint="default"/>
      </w:rPr>
    </w:lvl>
    <w:lvl w:ilvl="8" w:tplc="08090005" w:tentative="1">
      <w:start w:val="1"/>
      <w:numFmt w:val="bullet"/>
      <w:lvlText w:val=""/>
      <w:lvlJc w:val="left"/>
      <w:pPr>
        <w:ind w:left="7443" w:hanging="360"/>
      </w:pPr>
      <w:rPr>
        <w:rFonts w:ascii="Wingdings" w:hAnsi="Wingdings" w:hint="default"/>
      </w:rPr>
    </w:lvl>
  </w:abstractNum>
  <w:abstractNum w:abstractNumId="1" w15:restartNumberingAfterBreak="0">
    <w:nsid w:val="31885F85"/>
    <w:multiLevelType w:val="hybridMultilevel"/>
    <w:tmpl w:val="8418F4C4"/>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 w15:restartNumberingAfterBreak="0">
    <w:nsid w:val="4D50396F"/>
    <w:multiLevelType w:val="hybridMultilevel"/>
    <w:tmpl w:val="4002E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E0D64C4"/>
    <w:multiLevelType w:val="multilevel"/>
    <w:tmpl w:val="B95697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4412ECF"/>
    <w:multiLevelType w:val="hybridMultilevel"/>
    <w:tmpl w:val="E7D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560254">
    <w:abstractNumId w:val="3"/>
  </w:num>
  <w:num w:numId="2" w16cid:durableId="1788962030">
    <w:abstractNumId w:val="4"/>
  </w:num>
  <w:num w:numId="3" w16cid:durableId="184056045">
    <w:abstractNumId w:val="2"/>
  </w:num>
  <w:num w:numId="4" w16cid:durableId="793642879">
    <w:abstractNumId w:val="1"/>
  </w:num>
  <w:num w:numId="5" w16cid:durableId="112689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1"/>
    <w:rsid w:val="0000329D"/>
    <w:rsid w:val="00014C41"/>
    <w:rsid w:val="000248C2"/>
    <w:rsid w:val="000310E7"/>
    <w:rsid w:val="00061AC4"/>
    <w:rsid w:val="000710AA"/>
    <w:rsid w:val="00076738"/>
    <w:rsid w:val="00083A16"/>
    <w:rsid w:val="00093DC9"/>
    <w:rsid w:val="000973DB"/>
    <w:rsid w:val="000C1448"/>
    <w:rsid w:val="000E5A87"/>
    <w:rsid w:val="000F6F65"/>
    <w:rsid w:val="00107845"/>
    <w:rsid w:val="0011169F"/>
    <w:rsid w:val="0011268C"/>
    <w:rsid w:val="00124D23"/>
    <w:rsid w:val="00127CFC"/>
    <w:rsid w:val="0013555B"/>
    <w:rsid w:val="00137979"/>
    <w:rsid w:val="001379C2"/>
    <w:rsid w:val="001411FB"/>
    <w:rsid w:val="001604A4"/>
    <w:rsid w:val="001623EC"/>
    <w:rsid w:val="00180B54"/>
    <w:rsid w:val="00185144"/>
    <w:rsid w:val="0019236D"/>
    <w:rsid w:val="00196622"/>
    <w:rsid w:val="00197E4A"/>
    <w:rsid w:val="001A08BC"/>
    <w:rsid w:val="001B25AE"/>
    <w:rsid w:val="001B3120"/>
    <w:rsid w:val="001B6318"/>
    <w:rsid w:val="001C2076"/>
    <w:rsid w:val="001C49CE"/>
    <w:rsid w:val="001D550C"/>
    <w:rsid w:val="001E278E"/>
    <w:rsid w:val="001F0020"/>
    <w:rsid w:val="001F4619"/>
    <w:rsid w:val="00201058"/>
    <w:rsid w:val="00201A83"/>
    <w:rsid w:val="00204815"/>
    <w:rsid w:val="00205107"/>
    <w:rsid w:val="00213B49"/>
    <w:rsid w:val="002206E5"/>
    <w:rsid w:val="00223C30"/>
    <w:rsid w:val="00237030"/>
    <w:rsid w:val="0024420B"/>
    <w:rsid w:val="00246F13"/>
    <w:rsid w:val="0025383D"/>
    <w:rsid w:val="0025583B"/>
    <w:rsid w:val="00262C02"/>
    <w:rsid w:val="00264955"/>
    <w:rsid w:val="0027087D"/>
    <w:rsid w:val="00281A21"/>
    <w:rsid w:val="00281F2F"/>
    <w:rsid w:val="0029532D"/>
    <w:rsid w:val="002A2B97"/>
    <w:rsid w:val="002B52C9"/>
    <w:rsid w:val="002B5C5A"/>
    <w:rsid w:val="002C4BF2"/>
    <w:rsid w:val="002E77CD"/>
    <w:rsid w:val="003004E9"/>
    <w:rsid w:val="003030B5"/>
    <w:rsid w:val="00307D1B"/>
    <w:rsid w:val="00326BEC"/>
    <w:rsid w:val="003322D2"/>
    <w:rsid w:val="00337FD2"/>
    <w:rsid w:val="0036210A"/>
    <w:rsid w:val="003710DD"/>
    <w:rsid w:val="0037175F"/>
    <w:rsid w:val="00381590"/>
    <w:rsid w:val="00387635"/>
    <w:rsid w:val="00395790"/>
    <w:rsid w:val="003B0B53"/>
    <w:rsid w:val="003B0D84"/>
    <w:rsid w:val="003B625A"/>
    <w:rsid w:val="003D0AA5"/>
    <w:rsid w:val="003E0926"/>
    <w:rsid w:val="003E3F4F"/>
    <w:rsid w:val="003E553C"/>
    <w:rsid w:val="003E6A59"/>
    <w:rsid w:val="003F0207"/>
    <w:rsid w:val="003F1246"/>
    <w:rsid w:val="00404A83"/>
    <w:rsid w:val="004152DD"/>
    <w:rsid w:val="00432A72"/>
    <w:rsid w:val="00453454"/>
    <w:rsid w:val="00467C4E"/>
    <w:rsid w:val="00473812"/>
    <w:rsid w:val="0048011E"/>
    <w:rsid w:val="00483D9D"/>
    <w:rsid w:val="00494D6F"/>
    <w:rsid w:val="004C05A1"/>
    <w:rsid w:val="004C39F3"/>
    <w:rsid w:val="004D2048"/>
    <w:rsid w:val="004D6C62"/>
    <w:rsid w:val="004F42EE"/>
    <w:rsid w:val="0050065E"/>
    <w:rsid w:val="00524D16"/>
    <w:rsid w:val="0055039D"/>
    <w:rsid w:val="00554BFE"/>
    <w:rsid w:val="00564650"/>
    <w:rsid w:val="00572F4B"/>
    <w:rsid w:val="0057309B"/>
    <w:rsid w:val="00573AA0"/>
    <w:rsid w:val="0057493F"/>
    <w:rsid w:val="005947B3"/>
    <w:rsid w:val="005B1DFF"/>
    <w:rsid w:val="005B4C21"/>
    <w:rsid w:val="005E0F18"/>
    <w:rsid w:val="00613576"/>
    <w:rsid w:val="006202C7"/>
    <w:rsid w:val="00620FC6"/>
    <w:rsid w:val="00634A68"/>
    <w:rsid w:val="006405F3"/>
    <w:rsid w:val="00643F06"/>
    <w:rsid w:val="00645D6F"/>
    <w:rsid w:val="00645E32"/>
    <w:rsid w:val="00650441"/>
    <w:rsid w:val="006510B2"/>
    <w:rsid w:val="00655EE5"/>
    <w:rsid w:val="00661776"/>
    <w:rsid w:val="006630F4"/>
    <w:rsid w:val="006930F9"/>
    <w:rsid w:val="006A6997"/>
    <w:rsid w:val="006C65BA"/>
    <w:rsid w:val="006D0C2E"/>
    <w:rsid w:val="006D3AC8"/>
    <w:rsid w:val="006E3131"/>
    <w:rsid w:val="006F4A97"/>
    <w:rsid w:val="007004C9"/>
    <w:rsid w:val="00701E9C"/>
    <w:rsid w:val="0070559D"/>
    <w:rsid w:val="00722E8C"/>
    <w:rsid w:val="007303D9"/>
    <w:rsid w:val="007329DE"/>
    <w:rsid w:val="00743586"/>
    <w:rsid w:val="00754A16"/>
    <w:rsid w:val="00755BE2"/>
    <w:rsid w:val="00760E1F"/>
    <w:rsid w:val="007726CE"/>
    <w:rsid w:val="00774101"/>
    <w:rsid w:val="00774A9D"/>
    <w:rsid w:val="00775E86"/>
    <w:rsid w:val="00796D00"/>
    <w:rsid w:val="007A6243"/>
    <w:rsid w:val="007B1F9E"/>
    <w:rsid w:val="007C716C"/>
    <w:rsid w:val="007D6E64"/>
    <w:rsid w:val="007E300B"/>
    <w:rsid w:val="007E57CD"/>
    <w:rsid w:val="007F6514"/>
    <w:rsid w:val="00803037"/>
    <w:rsid w:val="00804B75"/>
    <w:rsid w:val="008053CC"/>
    <w:rsid w:val="00806012"/>
    <w:rsid w:val="00811674"/>
    <w:rsid w:val="00812ED5"/>
    <w:rsid w:val="0081327D"/>
    <w:rsid w:val="00821155"/>
    <w:rsid w:val="00823389"/>
    <w:rsid w:val="00842387"/>
    <w:rsid w:val="00847F76"/>
    <w:rsid w:val="00852B6B"/>
    <w:rsid w:val="00863EF9"/>
    <w:rsid w:val="00864A23"/>
    <w:rsid w:val="00866DC8"/>
    <w:rsid w:val="00874117"/>
    <w:rsid w:val="00875AC6"/>
    <w:rsid w:val="00885980"/>
    <w:rsid w:val="008901DB"/>
    <w:rsid w:val="008A0B98"/>
    <w:rsid w:val="008A3E3E"/>
    <w:rsid w:val="008C5C7E"/>
    <w:rsid w:val="008C610E"/>
    <w:rsid w:val="008E4238"/>
    <w:rsid w:val="0091241D"/>
    <w:rsid w:val="009235D7"/>
    <w:rsid w:val="00926CA2"/>
    <w:rsid w:val="00934FE8"/>
    <w:rsid w:val="009405C4"/>
    <w:rsid w:val="009414AE"/>
    <w:rsid w:val="0094564C"/>
    <w:rsid w:val="0095120B"/>
    <w:rsid w:val="00956984"/>
    <w:rsid w:val="0097446C"/>
    <w:rsid w:val="00975990"/>
    <w:rsid w:val="00981C57"/>
    <w:rsid w:val="00992D18"/>
    <w:rsid w:val="009A0461"/>
    <w:rsid w:val="009A339C"/>
    <w:rsid w:val="009B2DCE"/>
    <w:rsid w:val="009C453C"/>
    <w:rsid w:val="009C570A"/>
    <w:rsid w:val="009D4287"/>
    <w:rsid w:val="009D53EA"/>
    <w:rsid w:val="009D7CD8"/>
    <w:rsid w:val="009F7B5D"/>
    <w:rsid w:val="00A331E5"/>
    <w:rsid w:val="00A4646D"/>
    <w:rsid w:val="00A50DE2"/>
    <w:rsid w:val="00A56559"/>
    <w:rsid w:val="00A622C6"/>
    <w:rsid w:val="00A67CCC"/>
    <w:rsid w:val="00A70913"/>
    <w:rsid w:val="00A754EF"/>
    <w:rsid w:val="00AA25B6"/>
    <w:rsid w:val="00AB77BF"/>
    <w:rsid w:val="00AC256A"/>
    <w:rsid w:val="00AC6750"/>
    <w:rsid w:val="00B045A5"/>
    <w:rsid w:val="00B0516D"/>
    <w:rsid w:val="00B06348"/>
    <w:rsid w:val="00B1203A"/>
    <w:rsid w:val="00B14C09"/>
    <w:rsid w:val="00B2555C"/>
    <w:rsid w:val="00B34390"/>
    <w:rsid w:val="00B455B0"/>
    <w:rsid w:val="00B46BE4"/>
    <w:rsid w:val="00B47C78"/>
    <w:rsid w:val="00B53385"/>
    <w:rsid w:val="00B54B5B"/>
    <w:rsid w:val="00B61DF2"/>
    <w:rsid w:val="00B715B9"/>
    <w:rsid w:val="00B73569"/>
    <w:rsid w:val="00B770C1"/>
    <w:rsid w:val="00B80685"/>
    <w:rsid w:val="00B92643"/>
    <w:rsid w:val="00BA29BB"/>
    <w:rsid w:val="00BA4977"/>
    <w:rsid w:val="00BD6171"/>
    <w:rsid w:val="00BD67C3"/>
    <w:rsid w:val="00BD746D"/>
    <w:rsid w:val="00BE1D91"/>
    <w:rsid w:val="00BF0C29"/>
    <w:rsid w:val="00BF4BFD"/>
    <w:rsid w:val="00C031D9"/>
    <w:rsid w:val="00C03207"/>
    <w:rsid w:val="00C25EB0"/>
    <w:rsid w:val="00C33434"/>
    <w:rsid w:val="00C36018"/>
    <w:rsid w:val="00C61072"/>
    <w:rsid w:val="00C6495A"/>
    <w:rsid w:val="00C67217"/>
    <w:rsid w:val="00C72FDE"/>
    <w:rsid w:val="00C73AAE"/>
    <w:rsid w:val="00C74BCE"/>
    <w:rsid w:val="00C90E42"/>
    <w:rsid w:val="00C91A8E"/>
    <w:rsid w:val="00C927D3"/>
    <w:rsid w:val="00C9469A"/>
    <w:rsid w:val="00CA291A"/>
    <w:rsid w:val="00CA36A2"/>
    <w:rsid w:val="00CB2D35"/>
    <w:rsid w:val="00CB3177"/>
    <w:rsid w:val="00CB4BA8"/>
    <w:rsid w:val="00CC7807"/>
    <w:rsid w:val="00CD0416"/>
    <w:rsid w:val="00CD457C"/>
    <w:rsid w:val="00CE05BD"/>
    <w:rsid w:val="00CF5494"/>
    <w:rsid w:val="00CF73C5"/>
    <w:rsid w:val="00D219E3"/>
    <w:rsid w:val="00D233BA"/>
    <w:rsid w:val="00D5212B"/>
    <w:rsid w:val="00D5245F"/>
    <w:rsid w:val="00D617CA"/>
    <w:rsid w:val="00D6604A"/>
    <w:rsid w:val="00D72790"/>
    <w:rsid w:val="00D73E2F"/>
    <w:rsid w:val="00D75A8C"/>
    <w:rsid w:val="00D76A61"/>
    <w:rsid w:val="00D80166"/>
    <w:rsid w:val="00D9241E"/>
    <w:rsid w:val="00D96311"/>
    <w:rsid w:val="00D96658"/>
    <w:rsid w:val="00DA3E0B"/>
    <w:rsid w:val="00DA680F"/>
    <w:rsid w:val="00DB2525"/>
    <w:rsid w:val="00DB45CA"/>
    <w:rsid w:val="00DE1A84"/>
    <w:rsid w:val="00E009FB"/>
    <w:rsid w:val="00E104AD"/>
    <w:rsid w:val="00E167A5"/>
    <w:rsid w:val="00E221CD"/>
    <w:rsid w:val="00E22B8F"/>
    <w:rsid w:val="00E23CC9"/>
    <w:rsid w:val="00E36C7E"/>
    <w:rsid w:val="00E371CA"/>
    <w:rsid w:val="00E42998"/>
    <w:rsid w:val="00E623D7"/>
    <w:rsid w:val="00E67083"/>
    <w:rsid w:val="00E84AC0"/>
    <w:rsid w:val="00E84C51"/>
    <w:rsid w:val="00E90651"/>
    <w:rsid w:val="00E946A5"/>
    <w:rsid w:val="00E97562"/>
    <w:rsid w:val="00EA1F34"/>
    <w:rsid w:val="00EB0B2A"/>
    <w:rsid w:val="00EB79BA"/>
    <w:rsid w:val="00ED236C"/>
    <w:rsid w:val="00ED4203"/>
    <w:rsid w:val="00EE3D5E"/>
    <w:rsid w:val="00EE70F4"/>
    <w:rsid w:val="00EE7478"/>
    <w:rsid w:val="00EF48EB"/>
    <w:rsid w:val="00F040E0"/>
    <w:rsid w:val="00F067CC"/>
    <w:rsid w:val="00F35175"/>
    <w:rsid w:val="00F429F2"/>
    <w:rsid w:val="00F469FA"/>
    <w:rsid w:val="00F5077C"/>
    <w:rsid w:val="00F61077"/>
    <w:rsid w:val="00F84D75"/>
    <w:rsid w:val="00F85ACF"/>
    <w:rsid w:val="00F872E1"/>
    <w:rsid w:val="00FA4286"/>
    <w:rsid w:val="00FA4B6B"/>
    <w:rsid w:val="00FD2A6E"/>
    <w:rsid w:val="00FF1970"/>
    <w:rsid w:val="1DE45B5F"/>
    <w:rsid w:val="29F163B0"/>
    <w:rsid w:val="3D1BE5A5"/>
    <w:rsid w:val="48F06CD5"/>
    <w:rsid w:val="50A2A37C"/>
    <w:rsid w:val="5FFA3072"/>
    <w:rsid w:val="6970B36C"/>
    <w:rsid w:val="6B553B81"/>
    <w:rsid w:val="7CEFE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BAE7"/>
  <w15:docId w15:val="{5EFC965A-F5C3-4E57-8A1F-131D2B58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Indent"/>
    <w:link w:val="Heading5Char"/>
    <w:qFormat/>
    <w:rsid w:val="00B455B0"/>
    <w:pPr>
      <w:overflowPunct w:val="0"/>
      <w:autoSpaceDE w:val="0"/>
      <w:autoSpaceDN w:val="0"/>
      <w:adjustRightInd w:val="0"/>
      <w:spacing w:after="0" w:line="240" w:lineRule="auto"/>
      <w:ind w:left="720"/>
      <w:textAlignment w:val="baseline"/>
      <w:outlineLvl w:val="4"/>
    </w:pPr>
    <w:rPr>
      <w:rFonts w:ascii="Arial" w:eastAsia="Times New Roman" w:hAnsi="Arial" w:cs="Times New Roman"/>
      <w:b/>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51"/>
    <w:pPr>
      <w:ind w:left="720"/>
      <w:contextualSpacing/>
    </w:pPr>
  </w:style>
  <w:style w:type="table" w:styleId="TableGrid">
    <w:name w:val="Table Grid"/>
    <w:basedOn w:val="TableNormal"/>
    <w:uiPriority w:val="59"/>
    <w:rsid w:val="00E9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Normal"/>
    <w:link w:val="nChar"/>
    <w:rsid w:val="00956984"/>
    <w:pPr>
      <w:tabs>
        <w:tab w:val="num" w:pos="794"/>
        <w:tab w:val="right" w:pos="8959"/>
      </w:tabs>
      <w:overflowPunct w:val="0"/>
      <w:autoSpaceDE w:val="0"/>
      <w:autoSpaceDN w:val="0"/>
      <w:adjustRightInd w:val="0"/>
      <w:spacing w:before="240" w:after="0" w:line="240" w:lineRule="auto"/>
      <w:ind w:left="794" w:hanging="794"/>
      <w:jc w:val="both"/>
      <w:textAlignment w:val="baseline"/>
    </w:pPr>
    <w:rPr>
      <w:rFonts w:ascii="Arial" w:eastAsia="Times New Roman" w:hAnsi="Arial" w:cs="Times New Roman"/>
      <w:sz w:val="23"/>
      <w:szCs w:val="20"/>
    </w:rPr>
  </w:style>
  <w:style w:type="character" w:customStyle="1" w:styleId="nChar">
    <w:name w:val="n Char"/>
    <w:basedOn w:val="DefaultParagraphFont"/>
    <w:link w:val="n"/>
    <w:rsid w:val="00956984"/>
    <w:rPr>
      <w:rFonts w:ascii="Arial" w:eastAsia="Times New Roman" w:hAnsi="Arial" w:cs="Times New Roman"/>
      <w:sz w:val="23"/>
      <w:szCs w:val="20"/>
    </w:rPr>
  </w:style>
  <w:style w:type="paragraph" w:styleId="BalloonText">
    <w:name w:val="Balloon Text"/>
    <w:basedOn w:val="Normal"/>
    <w:link w:val="BalloonTextChar"/>
    <w:uiPriority w:val="99"/>
    <w:semiHidden/>
    <w:unhideWhenUsed/>
    <w:rsid w:val="0080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12"/>
    <w:rPr>
      <w:rFonts w:ascii="Tahoma" w:hAnsi="Tahoma" w:cs="Tahoma"/>
      <w:sz w:val="16"/>
      <w:szCs w:val="16"/>
    </w:rPr>
  </w:style>
  <w:style w:type="paragraph" w:customStyle="1" w:styleId="Intro">
    <w:name w:val="Intro"/>
    <w:basedOn w:val="Title"/>
    <w:next w:val="Normal"/>
    <w:link w:val="IntroChar"/>
    <w:uiPriority w:val="99"/>
    <w:rsid w:val="005B4C21"/>
    <w:pPr>
      <w:tabs>
        <w:tab w:val="right" w:pos="8959"/>
      </w:tabs>
      <w:overflowPunct w:val="0"/>
      <w:autoSpaceDE w:val="0"/>
      <w:autoSpaceDN w:val="0"/>
      <w:adjustRightInd w:val="0"/>
      <w:spacing w:before="960"/>
      <w:contextualSpacing w:val="0"/>
      <w:jc w:val="both"/>
      <w:textAlignment w:val="baseline"/>
    </w:pPr>
    <w:rPr>
      <w:rFonts w:ascii="Arial" w:eastAsia="Times New Roman" w:hAnsi="Arial" w:cs="Times New Roman"/>
      <w:b/>
      <w:spacing w:val="0"/>
      <w:kern w:val="0"/>
      <w:sz w:val="32"/>
      <w:szCs w:val="20"/>
    </w:rPr>
  </w:style>
  <w:style w:type="paragraph" w:customStyle="1" w:styleId="Onlyuseindocheader-doctitle">
    <w:name w:val="Only use in doc header - doc title"/>
    <w:link w:val="Onlyuseindocheader-doctitleChar"/>
    <w:qFormat/>
    <w:rsid w:val="005B4C21"/>
    <w:pPr>
      <w:spacing w:before="60" w:after="60" w:line="600" w:lineRule="exact"/>
    </w:pPr>
    <w:rPr>
      <w:rFonts w:ascii="Arial Black" w:eastAsia="Times New Roman" w:hAnsi="Arial Black" w:cs="Times New Roman"/>
      <w:spacing w:val="-20"/>
      <w:sz w:val="64"/>
      <w:szCs w:val="64"/>
      <w:lang w:val="en-US"/>
    </w:rPr>
  </w:style>
  <w:style w:type="paragraph" w:customStyle="1" w:styleId="Onlyuseindocheader-categorystyle">
    <w:name w:val="Only use in doc header - category style"/>
    <w:qFormat/>
    <w:rsid w:val="005B4C21"/>
    <w:pPr>
      <w:spacing w:after="0" w:line="240" w:lineRule="auto"/>
    </w:pPr>
    <w:rPr>
      <w:rFonts w:ascii="Arial" w:eastAsia="Times New Roman" w:hAnsi="Arial" w:cs="Times New Roman"/>
      <w:b/>
      <w:noProof/>
      <w:color w:val="FF0000"/>
      <w:lang w:eastAsia="en-GB"/>
    </w:rPr>
  </w:style>
  <w:style w:type="paragraph" w:customStyle="1" w:styleId="Onlyuseindocheader-subtitleifneeded">
    <w:name w:val="Only use in doc header  - subtitle if needed"/>
    <w:link w:val="Onlyuseindocheader-subtitleifneededChar"/>
    <w:qFormat/>
    <w:rsid w:val="005B4C21"/>
    <w:pPr>
      <w:spacing w:after="0" w:line="240" w:lineRule="auto"/>
    </w:pPr>
    <w:rPr>
      <w:rFonts w:ascii="Arial" w:eastAsia="Times New Roman" w:hAnsi="Arial" w:cs="Times New Roman"/>
      <w:b/>
      <w:sz w:val="26"/>
      <w:szCs w:val="26"/>
      <w:lang w:val="en-US"/>
    </w:rPr>
  </w:style>
  <w:style w:type="character" w:customStyle="1" w:styleId="Onlyuseindocheader-doctitleChar">
    <w:name w:val="Only use in doc header - doc title Char"/>
    <w:basedOn w:val="DefaultParagraphFont"/>
    <w:link w:val="Onlyuseindocheader-doctitle"/>
    <w:rsid w:val="005B4C21"/>
    <w:rPr>
      <w:rFonts w:ascii="Arial Black" w:eastAsia="Times New Roman" w:hAnsi="Arial Black" w:cs="Times New Roman"/>
      <w:spacing w:val="-20"/>
      <w:sz w:val="64"/>
      <w:szCs w:val="64"/>
      <w:lang w:val="en-US"/>
    </w:rPr>
  </w:style>
  <w:style w:type="character" w:customStyle="1" w:styleId="Onlyuseindocheader-subtitleifneededChar">
    <w:name w:val="Only use in doc header  - subtitle if needed Char"/>
    <w:basedOn w:val="DefaultParagraphFont"/>
    <w:link w:val="Onlyuseindocheader-subtitleifneeded"/>
    <w:rsid w:val="005B4C21"/>
    <w:rPr>
      <w:rFonts w:ascii="Arial" w:eastAsia="Times New Roman" w:hAnsi="Arial" w:cs="Times New Roman"/>
      <w:b/>
      <w:sz w:val="26"/>
      <w:szCs w:val="26"/>
      <w:lang w:val="en-US"/>
    </w:rPr>
  </w:style>
  <w:style w:type="paragraph" w:styleId="Title">
    <w:name w:val="Title"/>
    <w:basedOn w:val="Normal"/>
    <w:next w:val="Normal"/>
    <w:link w:val="TitleChar"/>
    <w:uiPriority w:val="10"/>
    <w:qFormat/>
    <w:rsid w:val="005B4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C2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4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C21"/>
  </w:style>
  <w:style w:type="paragraph" w:styleId="Footer">
    <w:name w:val="footer"/>
    <w:basedOn w:val="Normal"/>
    <w:link w:val="FooterChar"/>
    <w:uiPriority w:val="99"/>
    <w:unhideWhenUsed/>
    <w:rsid w:val="005B4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C21"/>
  </w:style>
  <w:style w:type="character" w:customStyle="1" w:styleId="Heading5Char">
    <w:name w:val="Heading 5 Char"/>
    <w:basedOn w:val="DefaultParagraphFont"/>
    <w:link w:val="Heading5"/>
    <w:rsid w:val="00B455B0"/>
    <w:rPr>
      <w:rFonts w:ascii="Arial" w:eastAsia="Times New Roman" w:hAnsi="Arial" w:cs="Times New Roman"/>
      <w:b/>
      <w:sz w:val="23"/>
      <w:szCs w:val="20"/>
    </w:rPr>
  </w:style>
  <w:style w:type="paragraph" w:styleId="NormalIndent">
    <w:name w:val="Normal Indent"/>
    <w:basedOn w:val="Normal"/>
    <w:rsid w:val="00B455B0"/>
    <w:pPr>
      <w:overflowPunct w:val="0"/>
      <w:autoSpaceDE w:val="0"/>
      <w:autoSpaceDN w:val="0"/>
      <w:adjustRightInd w:val="0"/>
      <w:spacing w:after="0" w:line="240" w:lineRule="auto"/>
      <w:ind w:left="720"/>
      <w:textAlignment w:val="baseline"/>
    </w:pPr>
    <w:rPr>
      <w:rFonts w:ascii="Arial" w:eastAsia="Times New Roman" w:hAnsi="Arial" w:cs="Times New Roman"/>
      <w:sz w:val="23"/>
      <w:szCs w:val="20"/>
    </w:rPr>
  </w:style>
  <w:style w:type="character" w:customStyle="1" w:styleId="BodytextChar">
    <w:name w:val="Body text Char"/>
    <w:basedOn w:val="DefaultParagraphFont"/>
    <w:link w:val="BodyText1"/>
    <w:rsid w:val="00B455B0"/>
    <w:rPr>
      <w:rFonts w:ascii="Arial" w:hAnsi="Arial"/>
      <w:szCs w:val="24"/>
      <w:lang w:val="en-US"/>
    </w:rPr>
  </w:style>
  <w:style w:type="paragraph" w:customStyle="1" w:styleId="BodyText1">
    <w:name w:val="Body Text1"/>
    <w:link w:val="BodytextChar"/>
    <w:rsid w:val="00B455B0"/>
    <w:pPr>
      <w:spacing w:after="120" w:line="288" w:lineRule="auto"/>
    </w:pPr>
    <w:rPr>
      <w:rFonts w:ascii="Arial" w:hAnsi="Arial"/>
      <w:szCs w:val="24"/>
      <w:lang w:val="en-US"/>
    </w:rPr>
  </w:style>
  <w:style w:type="paragraph" w:customStyle="1" w:styleId="Default">
    <w:name w:val="Default"/>
    <w:rsid w:val="00573AA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rsid w:val="00864A23"/>
    <w:rPr>
      <w:position w:val="6"/>
      <w:sz w:val="16"/>
    </w:rPr>
  </w:style>
  <w:style w:type="paragraph" w:styleId="FootnoteText">
    <w:name w:val="footnote text"/>
    <w:basedOn w:val="Normal"/>
    <w:link w:val="FootnoteTextChar"/>
    <w:rsid w:val="00864A23"/>
    <w:pPr>
      <w:overflowPunct w:val="0"/>
      <w:autoSpaceDE w:val="0"/>
      <w:autoSpaceDN w:val="0"/>
      <w:adjustRightInd w:val="0"/>
      <w:spacing w:after="0" w:line="240" w:lineRule="auto"/>
      <w:textAlignment w:val="baseline"/>
    </w:pPr>
    <w:rPr>
      <w:rFonts w:ascii="Arial" w:eastAsia="Times New Roman" w:hAnsi="Arial" w:cs="Times New Roman"/>
      <w:sz w:val="23"/>
      <w:szCs w:val="20"/>
    </w:rPr>
  </w:style>
  <w:style w:type="character" w:customStyle="1" w:styleId="FootnoteTextChar">
    <w:name w:val="Footnote Text Char"/>
    <w:basedOn w:val="DefaultParagraphFont"/>
    <w:link w:val="FootnoteText"/>
    <w:rsid w:val="00864A23"/>
    <w:rPr>
      <w:rFonts w:ascii="Arial" w:eastAsia="Times New Roman" w:hAnsi="Arial" w:cs="Times New Roman"/>
      <w:sz w:val="23"/>
      <w:szCs w:val="20"/>
    </w:rPr>
  </w:style>
  <w:style w:type="character" w:styleId="Hyperlink">
    <w:name w:val="Hyperlink"/>
    <w:uiPriority w:val="99"/>
    <w:rsid w:val="00864A23"/>
    <w:rPr>
      <w:color w:val="0000FF"/>
      <w:u w:val="single"/>
    </w:rPr>
  </w:style>
  <w:style w:type="character" w:customStyle="1" w:styleId="IntroChar">
    <w:name w:val="Intro Char"/>
    <w:basedOn w:val="TitleChar"/>
    <w:link w:val="Intro"/>
    <w:rsid w:val="00107845"/>
    <w:rPr>
      <w:rFonts w:ascii="Arial" w:eastAsia="Times New Roman" w:hAnsi="Arial" w:cs="Times New Roman"/>
      <w:b/>
      <w:spacing w:val="-10"/>
      <w:kern w:val="28"/>
      <w:sz w:val="32"/>
      <w:szCs w:val="20"/>
    </w:rPr>
  </w:style>
  <w:style w:type="character" w:customStyle="1" w:styleId="normaltextrun">
    <w:name w:val="normaltextrun"/>
    <w:basedOn w:val="DefaultParagraphFont"/>
    <w:rsid w:val="00107845"/>
  </w:style>
  <w:style w:type="character" w:customStyle="1" w:styleId="eop">
    <w:name w:val="eop"/>
    <w:basedOn w:val="DefaultParagraphFont"/>
    <w:rsid w:val="00107845"/>
  </w:style>
  <w:style w:type="character" w:styleId="CommentReference">
    <w:name w:val="annotation reference"/>
    <w:basedOn w:val="DefaultParagraphFont"/>
    <w:uiPriority w:val="99"/>
    <w:semiHidden/>
    <w:unhideWhenUsed/>
    <w:rsid w:val="006C65BA"/>
    <w:rPr>
      <w:sz w:val="16"/>
      <w:szCs w:val="16"/>
    </w:rPr>
  </w:style>
  <w:style w:type="paragraph" w:styleId="CommentText">
    <w:name w:val="annotation text"/>
    <w:basedOn w:val="Normal"/>
    <w:link w:val="CommentTextChar"/>
    <w:uiPriority w:val="99"/>
    <w:unhideWhenUsed/>
    <w:rsid w:val="006C65BA"/>
    <w:pPr>
      <w:spacing w:line="240" w:lineRule="auto"/>
    </w:pPr>
    <w:rPr>
      <w:sz w:val="20"/>
      <w:szCs w:val="20"/>
    </w:rPr>
  </w:style>
  <w:style w:type="character" w:customStyle="1" w:styleId="CommentTextChar">
    <w:name w:val="Comment Text Char"/>
    <w:basedOn w:val="DefaultParagraphFont"/>
    <w:link w:val="CommentText"/>
    <w:uiPriority w:val="99"/>
    <w:rsid w:val="006C65BA"/>
    <w:rPr>
      <w:sz w:val="20"/>
      <w:szCs w:val="20"/>
    </w:rPr>
  </w:style>
  <w:style w:type="paragraph" w:styleId="CommentSubject">
    <w:name w:val="annotation subject"/>
    <w:basedOn w:val="CommentText"/>
    <w:next w:val="CommentText"/>
    <w:link w:val="CommentSubjectChar"/>
    <w:uiPriority w:val="99"/>
    <w:semiHidden/>
    <w:unhideWhenUsed/>
    <w:rsid w:val="006C65BA"/>
    <w:rPr>
      <w:b/>
      <w:bCs/>
    </w:rPr>
  </w:style>
  <w:style w:type="character" w:customStyle="1" w:styleId="CommentSubjectChar">
    <w:name w:val="Comment Subject Char"/>
    <w:basedOn w:val="CommentTextChar"/>
    <w:link w:val="CommentSubject"/>
    <w:uiPriority w:val="99"/>
    <w:semiHidden/>
    <w:rsid w:val="006C65BA"/>
    <w:rPr>
      <w:b/>
      <w:bCs/>
      <w:sz w:val="20"/>
      <w:szCs w:val="20"/>
    </w:rPr>
  </w:style>
  <w:style w:type="paragraph" w:styleId="Revision">
    <w:name w:val="Revision"/>
    <w:hidden/>
    <w:uiPriority w:val="99"/>
    <w:semiHidden/>
    <w:rsid w:val="000F6F65"/>
    <w:pPr>
      <w:spacing w:after="0" w:line="240" w:lineRule="auto"/>
    </w:pPr>
  </w:style>
  <w:style w:type="character" w:styleId="FollowedHyperlink">
    <w:name w:val="FollowedHyperlink"/>
    <w:basedOn w:val="DefaultParagraphFont"/>
    <w:uiPriority w:val="99"/>
    <w:semiHidden/>
    <w:unhideWhenUsed/>
    <w:rsid w:val="00C61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portscotland.org.uk/freedom-of-information/foidocuments/public-services-reform-scotland-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FIN0FINANCE-1479012437-5517</_dlc_DocId>
    <_dlc_DocIdUrl xmlns="dbb8eb13-8159-49c5-b55e-052e4280298e">
      <Url>https://sportscotland.sharepoint.com/sites/FIN_Finance/_layouts/15/DocIdRedir.aspx?ID=FIN0FINANCE-1479012437-5517</Url>
      <Description>FIN0FINANCE-1479012437-5517</Description>
    </_dlc_DocIdUrl>
    <SharedWithUsers xmlns="dbb8eb13-8159-49c5-b55e-052e4280298e">
      <UserInfo>
        <DisplayName>Forbes Dunlop</DisplayName>
        <AccountId>89</AccountId>
        <AccountType/>
      </UserInfo>
      <UserInfo>
        <DisplayName>Simon Taaffe</DisplayName>
        <AccountId>90</AccountId>
        <AccountType/>
      </UserInfo>
      <UserInfo>
        <DisplayName>Neville Cobb</DisplayName>
        <AccountId>32</AccountId>
        <AccountType/>
      </UserInfo>
      <UserInfo>
        <DisplayName>Rachel Barrington</DisplayName>
        <AccountId>896</AccountId>
        <AccountType/>
      </UserInfo>
    </SharedWithUsers>
    <TaxCatchAll xmlns="dbb8eb13-8159-49c5-b55e-052e4280298e" xsi:nil="true"/>
    <lcf76f155ced4ddcb4097134ff3c332f xmlns="3d1832c6-e674-4727-9355-4a4275db6b3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6BE83503C28F42985AED1D7E6005E6" ma:contentTypeVersion="30" ma:contentTypeDescription="Create a new document." ma:contentTypeScope="" ma:versionID="b69a836a4c336e5d515572f3aa2e41e8">
  <xsd:schema xmlns:xsd="http://www.w3.org/2001/XMLSchema" xmlns:xs="http://www.w3.org/2001/XMLSchema" xmlns:p="http://schemas.microsoft.com/office/2006/metadata/properties" xmlns:ns2="dbb8eb13-8159-49c5-b55e-052e4280298e" xmlns:ns3="3d1832c6-e674-4727-9355-4a4275db6b33" targetNamespace="http://schemas.microsoft.com/office/2006/metadata/properties" ma:root="true" ma:fieldsID="6fdfd820dd8200b76fd0232338042c7a" ns2:_="" ns3:_="">
    <xsd:import namespace="dbb8eb13-8159-49c5-b55e-052e4280298e"/>
    <xsd:import namespace="3d1832c6-e674-4727-9355-4a4275db6b33"/>
    <xsd:element name="properties">
      <xsd:complexType>
        <xsd:sequence>
          <xsd:element name="documentManagement">
            <xsd:complexType>
              <xsd:all>
                <xsd:element ref="ns2:Expired" minOccurs="0"/>
                <xsd:element ref="ns2:_dlc_DocIdPersistId"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Expired" ma:index="2" nillable="true" ma:displayName="Expired" ma:default="0" ma:internalName="Expired" ma:readOnly="false">
      <xsd:simpleType>
        <xsd:restriction base="dms:Boolean"/>
      </xsd:simpleType>
    </xsd:element>
    <xsd:element name="_dlc_DocIdPersistId" ma:index="5" nillable="true" ma:displayName="Persist ID" ma:description="Keep ID on add." ma:hidden="true" ma:internalName="_dlc_DocIdPersistId" ma:readOnly="false">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7cd2fc-db36-4ed0-80cf-462427ea13a7}" ma:internalName="TaxCatchAll" ma:showField="CatchAllData" ma:web="dbb8eb13-8159-49c5-b55e-052e42802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1832c6-e674-4727-9355-4a4275db6b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3e48ed-9728-4b07-a7f8-5fbb5785ed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15B00-563C-458C-ABEE-19F784B66F68}">
  <ds:schemaRefs>
    <ds:schemaRef ds:uri="http://schemas.microsoft.com/office/2006/metadata/properties"/>
    <ds:schemaRef ds:uri="http://schemas.microsoft.com/office/infopath/2007/PartnerControls"/>
    <ds:schemaRef ds:uri="dbb8eb13-8159-49c5-b55e-052e4280298e"/>
    <ds:schemaRef ds:uri="3d1832c6-e674-4727-9355-4a4275db6b33"/>
  </ds:schemaRefs>
</ds:datastoreItem>
</file>

<file path=customXml/itemProps2.xml><?xml version="1.0" encoding="utf-8"?>
<ds:datastoreItem xmlns:ds="http://schemas.openxmlformats.org/officeDocument/2006/customXml" ds:itemID="{73EF399A-75B6-4F78-9D6D-E2DD128EA0E4}">
  <ds:schemaRefs>
    <ds:schemaRef ds:uri="http://schemas.microsoft.com/sharepoint/events"/>
  </ds:schemaRefs>
</ds:datastoreItem>
</file>

<file path=customXml/itemProps3.xml><?xml version="1.0" encoding="utf-8"?>
<ds:datastoreItem xmlns:ds="http://schemas.openxmlformats.org/officeDocument/2006/customXml" ds:itemID="{D10333BA-E894-47D3-A668-6B1C39C1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3d1832c6-e674-4727-9355-4a4275db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E63DC-14E7-436E-B959-11BB655FD1FD}">
  <ds:schemaRefs>
    <ds:schemaRef ds:uri="http://schemas.openxmlformats.org/officeDocument/2006/bibliography"/>
  </ds:schemaRefs>
</ds:datastoreItem>
</file>

<file path=customXml/itemProps5.xml><?xml version="1.0" encoding="utf-8"?>
<ds:datastoreItem xmlns:ds="http://schemas.openxmlformats.org/officeDocument/2006/customXml" ds:itemID="{9F8D01F4-625B-4684-B765-D34837DDB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2294</Words>
  <Characters>13082</Characters>
  <Application>Microsoft Office Word</Application>
  <DocSecurity>4</DocSecurity>
  <Lines>109</Lines>
  <Paragraphs>30</Paragraphs>
  <ScaleCrop>false</ScaleCrop>
  <Company>sportscotland</Company>
  <LinksUpToDate>false</LinksUpToDate>
  <CharactersWithSpaces>15346</CharactersWithSpaces>
  <SharedDoc>false</SharedDoc>
  <HLinks>
    <vt:vector size="6" baseType="variant">
      <vt:variant>
        <vt:i4>2687019</vt:i4>
      </vt:variant>
      <vt:variant>
        <vt:i4>0</vt:i4>
      </vt:variant>
      <vt:variant>
        <vt:i4>0</vt:i4>
      </vt:variant>
      <vt:variant>
        <vt:i4>5</vt:i4>
      </vt:variant>
      <vt:variant>
        <vt:lpwstr>https://sportscotland.org.uk/freedom-of-information/foidocuments/public-services-reform-scotland-act-2010/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PSRA Report</dc:title>
  <dc:subject/>
  <dc:creator>neville.cobb</dc:creator>
  <cp:keywords/>
  <cp:lastModifiedBy>Michael Law</cp:lastModifiedBy>
  <cp:revision>151</cp:revision>
  <cp:lastPrinted>2019-01-05T07:19:00Z</cp:lastPrinted>
  <dcterms:created xsi:type="dcterms:W3CDTF">2023-10-20T20:59:00Z</dcterms:created>
  <dcterms:modified xsi:type="dcterms:W3CDTF">2025-06-10T11:26:00Z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0x010100046BE83503C28F42985AED1D7E6005E6</vt:lpwstr>
  </property>
  <property fmtid="{D5CDD505-2E9C-101B-9397-08002B2CF9AE}" pid="3" name="_dlc_policyId">
    <vt:lpwstr>0x0101|-1465434203</vt:lpwstr>
  </property>
  <property fmtid="{D5CDD505-2E9C-101B-9397-08002B2CF9AE}" pid="4" name="ItemRetentionFormula">
    <vt:lpwstr>&lt;formula id="sportscotland"&gt;&lt;/formula&gt;</vt:lpwstr>
  </property>
  <property fmtid="{D5CDD505-2E9C-101B-9397-08002B2CF9AE}" pid="5" name="_dlc_DocIdItemGuid">
    <vt:lpwstr>33260e57-ef37-4efa-a956-850f77dbb2aa</vt:lpwstr>
  </property>
  <property fmtid="{D5CDD505-2E9C-101B-9397-08002B2CF9AE}" pid="6" name="MediaServiceImageTags">
    <vt:lpwstr/>
  </property>
</Properties>
</file>